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1B3A5C"/>
          <w:sz w:val="44"/>
          <w:szCs w:val="44"/>
        </w:rPr>
        <w:t xml:space="preserve">XyzPilot Disambiguation Gap Analysis</w:t>
      </w:r>
    </w:p>
    <w:p>
      <w:pPr>
        <w:spacing w:after="60" w:before="0"/>
        <w:jc w:val="left"/>
      </w:pPr>
      <w:r>
        <w:rPr>
          <w:rFonts w:ascii="Calibri(Headings)" w:cs="Calibri(Headings)" w:eastAsia="Calibri(Headings)" w:hAnsi="Calibri(Headings)"/>
          <w:i/>
          <w:iCs/>
          <w:color w:val="4F81BD"/>
          <w:sz w:val="26"/>
          <w:szCs w:val="26"/>
        </w:rPr>
        <w:t xml:space="preserve">Benchmarking XYZ-SPEC-002 Against Industry Standards — Gaps, Overlaps, and Roadmap Priorities</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0"/>
          <w:bottom w:type="dxa" w:w="80"/>
          <w:right w:type="dxa" w:w="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Document ID</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XYZ-SPEC-003</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Version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1.0 — Draft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Date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August 2026</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Status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Review</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Supersedes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N/A — New Document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Related Documents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XYZ-SPEC-001: XyzPilot &amp; AI Agent Architecture
 XYZ-SPEC-002: Disambiguation Protocol</w:t>
            </w:r>
          </w:p>
        </w:tc>
      </w:tr>
    </w:tbl>
    <w:p>
      <w:pPr>
        <w:pBdr>
          <w:top w:val="none" w:color="FFFFFF" w:sz="0"/>
          <w:bottom w:val="single" w:color="CCCCCC" w:sz="4"/>
          <w:left w:val="none" w:color="FFFFFF" w:sz="0"/>
          <w:right w:val="none" w:color="FFFFFF" w:sz="0"/>
        </w:pBdr>
        <w:spacing w:after="240" w:before="160"/>
      </w:pPr>
      <w:r>
        <w:t xml:space="preserve"/>
      </w:r>
    </w:p>
    <w:p>
      <w:pPr>
        <w:pStyle w:val="Heading1"/>
      </w:pPr>
      <w:r>
        <w:rPr>
          <w:rFonts w:ascii="Calibri(Headings)" w:cs="Calibri(Headings)" w:eastAsia="Calibri(Headings)" w:hAnsi="Calibri(Headings)"/>
          <w:b/>
          <w:bCs/>
          <w:color w:val="4F81BD"/>
          <w:sz w:val="32"/>
          <w:szCs w:val="32"/>
        </w:rPr>
        <w:t xml:space="preserve">Table of Contents</w:t>
      </w:r>
    </w:p>
    <w:p>
      <w:pPr>
        <w:spacing w:after="40" w:before="40"/>
      </w:pPr>
      <w:hyperlink w:history="1" w:anchor="sec-purpose">
        <w:r>
          <w:rPr>
            <w:rStyle w:val="Hyperlink"/>
            <w:sz w:val="24"/>
            <w:szCs w:val="24"/>
          </w:rPr>
          <w:t xml:space="preserve">1.  Purpose &amp; Scope</w:t>
        </w:r>
      </w:hyperlink>
    </w:p>
    <w:p>
      <w:pPr>
        <w:spacing w:after="40" w:before="40"/>
      </w:pPr>
      <w:hyperlink w:history="1" w:anchor="sec-references">
        <w:r>
          <w:rPr>
            <w:rStyle w:val="Hyperlink"/>
            <w:sz w:val="24"/>
            <w:szCs w:val="24"/>
          </w:rPr>
          <w:t xml:space="preserve">2.  Reference Standards</w:t>
        </w:r>
      </w:hyperlink>
    </w:p>
    <w:p>
      <w:pPr>
        <w:spacing w:after="40" w:before="40"/>
      </w:pPr>
      <w:hyperlink w:history="1" w:anchor="sec-series">
        <w:r>
          <w:rPr>
            <w:rStyle w:val="Hyperlink"/>
            <w:sz w:val="24"/>
            <w:szCs w:val="24"/>
          </w:rPr>
          <w:t xml:space="preserve">3.  Document Series Context</w:t>
        </w:r>
      </w:hyperlink>
    </w:p>
    <w:p>
      <w:pPr>
        <w:spacing w:after="40" w:before="40"/>
      </w:pPr>
      <w:hyperlink w:history="1" w:anchor="sec-gap-analysis">
        <w:r>
          <w:rPr>
            <w:rStyle w:val="Hyperlink"/>
            <w:sz w:val="24"/>
            <w:szCs w:val="24"/>
          </w:rPr>
          <w:t xml:space="preserve">4.  Failure Mode Gap Analysis</w:t>
        </w:r>
      </w:hyperlink>
    </w:p>
    <w:p>
      <w:pPr>
        <w:spacing w:after="40" w:before="40"/>
      </w:pPr>
      <w:hyperlink w:history="1" w:anchor="sec-fm37">
        <w:r>
          <w:rPr>
            <w:rStyle w:val="Hyperlink"/>
            <w:sz w:val="24"/>
            <w:szCs w:val="24"/>
          </w:rPr>
          <w:t xml:space="preserve">5.  Structural Gap — FM 3.7: Downstream Dependency Invalidation</w:t>
        </w:r>
      </w:hyperlink>
    </w:p>
    <w:p>
      <w:pPr>
        <w:spacing w:after="40" w:before="40"/>
      </w:pPr>
      <w:hyperlink w:history="1" w:anchor="sec-severity">
        <w:r>
          <w:rPr>
            <w:rStyle w:val="Hyperlink"/>
            <w:sz w:val="24"/>
            <w:szCs w:val="24"/>
          </w:rPr>
          <w:t xml:space="preserve">6.  Severity Classification Alignment</w:t>
        </w:r>
      </w:hyperlink>
    </w:p>
    <w:p>
      <w:pPr>
        <w:spacing w:after="40" w:before="40"/>
      </w:pPr>
      <w:hyperlink w:history="1" w:anchor="sec-catalog">
        <w:r>
          <w:rPr>
            <w:rStyle w:val="Hyperlink"/>
            <w:sz w:val="24"/>
            <w:szCs w:val="24"/>
          </w:rPr>
          <w:t xml:space="preserve">7.  Catalog Design Implications</w:t>
        </w:r>
      </w:hyperlink>
    </w:p>
    <w:p>
      <w:pPr>
        <w:spacing w:after="40" w:before="40"/>
      </w:pPr>
      <w:hyperlink w:history="1" w:anchor="sec-correction">
        <w:r>
          <w:rPr>
            <w:rStyle w:val="Hyperlink"/>
            <w:sz w:val="24"/>
            <w:szCs w:val="24"/>
          </w:rPr>
          <w:t xml:space="preserve">8.  Immediate Correction to XYZ-SPEC-002</w:t>
        </w:r>
      </w:hyperlink>
    </w:p>
    <w:p>
      <w:pPr>
        <w:spacing w:after="40" w:before="40"/>
      </w:pPr>
      <w:hyperlink w:history="1" w:anchor="sec-roadmap">
        <w:r>
          <w:rPr>
            <w:rStyle w:val="Hyperlink"/>
            <w:sz w:val="24"/>
            <w:szCs w:val="24"/>
          </w:rPr>
          <w:t xml:space="preserve">9.  Roadmap Priorities</w:t>
        </w:r>
      </w:hyperlink>
    </w:p>
    <w:p>
      <w:pPr>
        <w:spacing w:after="40" w:before="40"/>
      </w:pPr>
      <w:hyperlink w:history="1" w:anchor="sec-open-questions">
        <w:r>
          <w:rPr>
            <w:rStyle w:val="Hyperlink"/>
            <w:sz w:val="24"/>
            <w:szCs w:val="24"/>
          </w:rPr>
          <w:t xml:space="preserve">10. Open Questions</w:t>
        </w:r>
      </w:hyperlink>
    </w:p>
    <w:p>
      <w:r>
        <w:br w:type="page"/>
      </w:r>
    </w:p>
    <w:p>
      <w:pPr>
        <w:pStyle w:val="Heading1"/>
      </w:pPr>
      <w:bookmarkStart w:name="sec-purpose" w:id="1"/>
      <w:r>
        <w:rPr>
          <w:rFonts w:ascii="Calibri(Headings)" w:cs="Calibri(Headings)" w:eastAsia="Calibri(Headings)" w:hAnsi="Calibri(Headings)"/>
          <w:b/>
          <w:bCs/>
          <w:color w:val="4F81BD"/>
          <w:sz w:val="32"/>
          <w:szCs w:val="32"/>
        </w:rPr>
        <w:t xml:space="preserve">1.  Purpose &amp; Scope</w:t>
      </w:r>
      <w:bookmarkEnd w:id="1"/>
    </w:p>
    <w:p>
      <w:pPr>
        <w:spacing w:after="120" w:before="120"/>
      </w:pPr>
      <w:r>
        <w:rPr>
          <w:rFonts w:ascii="Cambria" w:cs="Cambria" w:eastAsia="Cambria" w:hAnsi="Cambria"/>
          <w:sz w:val="24"/>
          <w:szCs w:val="24"/>
        </w:rPr>
        <w:t xml:space="preserve">This document benchmarks the six disambiguation failure modes defined in </w:t>
      </w:r>
      <w:r>
        <w:rPr>
          <w:rFonts w:ascii="Cambria" w:cs="Cambria" w:eastAsia="Cambria" w:hAnsi="Cambria"/>
          <w:i/>
          <w:iCs/>
          <w:sz w:val="24"/>
          <w:szCs w:val="24"/>
        </w:rPr>
        <w:t xml:space="preserve">XYZ-SPEC-002: Disambiguation Protocol</w:t>
      </w:r>
      <w:r>
        <w:rPr>
          <w:rFonts w:ascii="Cambria" w:cs="Cambria" w:eastAsia="Cambria" w:hAnsi="Cambria"/>
          <w:sz w:val="24"/>
          <w:szCs w:val="24"/>
        </w:rPr>
        <w:t xml:space="preserve"> against established industry standards in CAD, BIM, and geometric modelling. It identifies gaps, overlaps, and severity classification misalignments, and defines the corrective actions and roadmap priorities that follow from those findings.</w:t>
      </w:r>
    </w:p>
    <w:p>
      <w:pPr>
        <w:spacing w:after="80" w:before="80"/>
      </w:pPr>
      <w:r>
        <w:rPr>
          <w:rFonts w:ascii="Cambria" w:cs="Cambria" w:eastAsia="Cambria" w:hAnsi="Cambria"/>
          <w:sz w:val="24"/>
          <w:szCs w:val="24"/>
        </w:rPr>
        <w:t xml:space="preserve">This document is </w:t>
      </w:r>
      <w:r>
        <w:rPr>
          <w:rFonts w:ascii="Cambria" w:cs="Cambria" w:eastAsia="Cambria" w:hAnsi="Cambria"/>
          <w:b/>
          <w:bCs/>
          <w:sz w:val="24"/>
          <w:szCs w:val="24"/>
        </w:rPr>
        <w:t xml:space="preserve">analytical and forward-looking</w:t>
      </w:r>
      <w:r>
        <w:rPr>
          <w:rFonts w:ascii="Cambria" w:cs="Cambria" w:eastAsia="Cambria" w:hAnsi="Cambria"/>
          <w:sz w:val="24"/>
          <w:szCs w:val="24"/>
        </w:rPr>
        <w:t xml:space="preserve">. It is not an operational specification. Its primary audience is architects, technical leads, and product owners deciding what to build next — not implementers building what is already specified in XYZ-SPEC-002.</w:t>
      </w:r>
    </w:p>
    <w:p>
      <w:pPr>
        <w:spacing w:after="80" w:before="80"/>
      </w:pPr>
      <w:r>
        <w:rPr>
          <w:rFonts w:ascii="Cambria" w:cs="Cambria" w:eastAsia="Cambria" w:hAnsi="Cambria"/>
          <w:sz w:val="24"/>
          <w:szCs w:val="24"/>
        </w:rPr>
        <w:t xml:space="preserve">This document also introduces </w:t>
      </w:r>
      <w:r>
        <w:rPr>
          <w:rFonts w:ascii="Cambria" w:cs="Cambria" w:eastAsia="Cambria" w:hAnsi="Cambria"/>
          <w:b/>
          <w:bCs/>
          <w:sz w:val="24"/>
          <w:szCs w:val="24"/>
        </w:rPr>
        <w:t xml:space="preserve">FM 3.7 — Downstream Dependency Invalidation</w:t>
      </w:r>
      <w:r>
        <w:rPr>
          <w:rFonts w:ascii="Cambria" w:cs="Cambria" w:eastAsia="Cambria" w:hAnsi="Cambria"/>
          <w:sz w:val="24"/>
          <w:szCs w:val="24"/>
        </w:rPr>
        <w:t xml:space="preserve">, a failure mode present in industry standards that is absent from XYZ-SPEC-002 and warrants a future specification section.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references" w:id="1"/>
      <w:r>
        <w:rPr>
          <w:rFonts w:ascii="Calibri(Headings)" w:cs="Calibri(Headings)" w:eastAsia="Calibri(Headings)" w:hAnsi="Calibri(Headings)"/>
          <w:b/>
          <w:bCs/>
          <w:color w:val="4F81BD"/>
          <w:sz w:val="32"/>
          <w:szCs w:val="32"/>
        </w:rPr>
        <w:t xml:space="preserve">2.  Reference Standards</w:t>
      </w:r>
      <w:bookmarkEnd w:id="1"/>
    </w:p>
    <w:p>
      <w:pPr>
        <w:spacing w:after="120" w:before="80"/>
      </w:pPr>
      <w:r>
        <w:rPr>
          <w:rFonts w:ascii="Cambria" w:cs="Cambria" w:eastAsia="Cambria" w:hAnsi="Cambria"/>
          <w:sz w:val="24"/>
          <w:szCs w:val="24"/>
        </w:rPr>
        <w:t xml:space="preserve">The following industry standards and frameworks are used as benchmarks throughout this document.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520"/>
        <w:gridCol w:w="2160"/>
        <w:gridCol w:w="4680"/>
      </w:tblGrid>
      <w:tr>
        <w:trPr>
          <w:tblHeader/>
        </w:trPr>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Standard / Framework</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Domain</w:t>
            </w:r>
          </w:p>
        </w:tc>
        <w:tc>
          <w:tcPr>
            <w:tcW w:type="dxa" w:w="46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Relevance to XyzPilot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ISO 10303 (STEP)</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CAD Data Exchange</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Defines typed geometric entity schemas; eliminates operator ambiguity by design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IFC (Industry Foundation Classes)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BIM</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GUID-based entity references; forward reference handling in file transactions</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OpenCASCADE Technology (OCCT)</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Geometric Kernel</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Multi-candidate result sets; no default selection at kernel level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ACIS / Parasolid</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Geometric Kernel</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Reference-counted entity handles; immediate stale reference invalidation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OGC Simple Features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Geospatial</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Unambiguous typed function signatures; no natural language layer</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NASA/ESA Software Fault Classification</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Safety-Critical SW</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Type I / Type II error taxonomy; severity rating framework</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GitHub Copilot / Copilot Workspace</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AI-Assisted Dev</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Context-aware inference; plan-before-execute; ranked candidates</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series" w:id="1"/>
      <w:r>
        <w:rPr>
          <w:rFonts w:ascii="Calibri(Headings)" w:cs="Calibri(Headings)" w:eastAsia="Calibri(Headings)" w:hAnsi="Calibri(Headings)"/>
          <w:b/>
          <w:bCs/>
          <w:color w:val="4F81BD"/>
          <w:sz w:val="32"/>
          <w:szCs w:val="32"/>
        </w:rPr>
        <w:t xml:space="preserve">3.  Document Series Context</w:t>
      </w:r>
      <w:bookmarkEnd w:id="1"/>
    </w:p>
    <w:p>
      <w:pPr>
        <w:spacing w:after="120" w:before="80"/>
      </w:pPr>
      <w:r>
        <w:rPr>
          <w:rFonts w:ascii="Cambria" w:cs="Cambria" w:eastAsia="Cambria" w:hAnsi="Cambria"/>
          <w:sz w:val="24"/>
          <w:szCs w:val="24"/>
        </w:rPr>
        <w:t xml:space="preserve">This document is the third in the XyzPilot technical specification series. Each document serves a distinct purpose and audience.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520"/>
        <w:gridCol w:w="2160"/>
        <w:gridCol w:w="324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Document</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Title</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Type</w:t>
            </w:r>
          </w:p>
        </w:tc>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Primary Audience</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XYZ-SPEC-001</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XyzPilot &amp; AI Agent Architecture</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Architecture Overview</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All stakeholders</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XYZ-SPEC-002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Disambiguation Protocol</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Operational Specification</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Implementers</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XYZ-SPEC-003</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Disambiguation Gap Analysis (this document)</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Gap Analysis &amp; Roadmap</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Architects, Product Leads</w:t>
            </w:r>
          </w:p>
        </w:tc>
      </w:tr>
    </w:tbl>
    <w:p>
      <w:pPr>
        <w:pBdr>
          <w:left w:val="single" w:color="4F81BD" w:sz="12"/>
        </w:pBdr>
        <w:spacing w:after="120" w:before="200"/>
        <w:ind w:left="720"/>
      </w:pPr>
      <w:r>
        <w:rPr>
          <w:rFonts w:ascii="Cambria" w:cs="Cambria" w:eastAsia="Cambria" w:hAnsi="Cambria"/>
          <w:i/>
          <w:iCs/>
          <w:color w:val="2E4057"/>
          <w:sz w:val="24"/>
          <w:szCs w:val="24"/>
        </w:rPr>
        <w:t xml:space="preserve">XYZ-SPEC-002 is prescriptive and stable — it tells implementers what to do. XYZ-SPEC-003 is analytical and evolving — it tells architects what to build next. The two documents must never be merged.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gap-analysis" w:id="1"/>
      <w:r>
        <w:rPr>
          <w:rFonts w:ascii="Calibri(Headings)" w:cs="Calibri(Headings)" w:eastAsia="Calibri(Headings)" w:hAnsi="Calibri(Headings)"/>
          <w:b/>
          <w:bCs/>
          <w:color w:val="4F81BD"/>
          <w:sz w:val="32"/>
          <w:szCs w:val="32"/>
        </w:rPr>
        <w:t xml:space="preserve">4.  Failure Mode Gap Analysis</w:t>
      </w:r>
      <w:bookmarkEnd w:id="1"/>
    </w:p>
    <w:p>
      <w:pPr>
        <w:spacing w:after="120" w:before="80"/>
      </w:pPr>
      <w:r>
        <w:rPr>
          <w:rFonts w:ascii="Cambria" w:cs="Cambria" w:eastAsia="Cambria" w:hAnsi="Cambria"/>
          <w:sz w:val="24"/>
          <w:szCs w:val="24"/>
        </w:rPr>
        <w:t xml:space="preserve">Each of the six failure modes in XYZ-SPEC-002 is assessed below against the reference standards. For each, the analysis covers: what industry standards do, what XYZ-SPEC-002 does, the gap, and the recommended action.</w:t>
      </w:r>
    </w:p>
    <w:p>
      <w:pPr>
        <w:pStyle w:val="Heading2"/>
      </w:pPr>
      <w:bookmarkStart w:name="sec-fm31" w:id="1"/>
      <w:r>
        <w:rPr>
          <w:rFonts w:ascii="Calibri(Headings)" w:cs="Calibri(Headings)" w:eastAsia="Calibri(Headings)" w:hAnsi="Calibri(Headings)"/>
          <w:b/>
          <w:bCs/>
          <w:color w:val="2E75B6"/>
          <w:sz w:val="26"/>
          <w:szCs w:val="26"/>
        </w:rPr>
        <w:t xml:space="preserve">4.1  FM 3.1 — Implicit Selector / Silent Wrong Geometry</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Silent Failure — Highest Severity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ACIS, Parasolid, and OpenCASCADE return all candidates as an ordered result set. The caller must select. No default selection exists at the kernel level. This is architecturally enforced, not a runtime rule.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 correctly identifies this as highest severity. Section 7.1 forbids default selection for two-candidate intersection operators.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Section 7.1's no-default rule applies only to intersection operators. Section 5 (Step 3) still permits selector inference under Medium Confidence for other operator classes. Industry kernels apply the no-default rule universally — there is no class of operator for which a default is acceptable.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Elevate the no-default rule to a global constraint in XYZ-SPEC-002 Section 5. No default selection is permitted for any two-candidate operator regardless of confidence level or geometric context. See Section 8 of this document for the specific correction text.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IMMEDIATE — correction to existing spec required</w:t>
            </w:r>
          </w:p>
        </w:tc>
      </w:tr>
    </w:tbl>
    <w:p>
      <w:pPr>
        <w:pStyle w:val="Heading2"/>
      </w:pPr>
      <w:r>
        <w:rPr>
          <w:rFonts w:ascii="Calibri(Headings)" w:cs="Calibri(Headings)" w:eastAsia="Calibri(Headings)" w:hAnsi="Calibri(Headings)"/>
          <w:b/>
          <w:bCs/>
          <w:color w:val="2E75B6"/>
          <w:sz w:val="26"/>
          <w:szCs w:val="26"/>
        </w:rPr>
        <w:t xml:space="preserve">4.2  FM 3.2 — Vague Spatial Reference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Low Confidence — ask before proceeding</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BIM authoring tools (Revit, ArchiCAD) resolve spatial language through explicit snap priority hierarchies: endpoint &gt; midpoint &gt; intersection &gt; nearest. Rules are documented, deterministic, and applied automatically. There is no "ask the user" step — the hierarchy resolves ambiguity.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 correctly classifies this as Low Confidence and requires clarification before execution. The principle is sound.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XYZ-SPEC-002 does not define what "geometric context inference" means for spatial language. Without a spatial language mapping table, the instruction to "ask for clarification" is correct in principle but unimplementable. An agent cannot ask a useful clarifying question without knowing which selector candidates are relevant to the user's phrase.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Add a Spatial Language Mapping Table to XYZ-SPEC-002 as an appendix. The table must define: (a) recognised spatial phrases, (b) their candidate selector mappings, and (c) the clarifying question template to use for each. See Section 9.1 of this document for the initial table.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E67E22"/>
                <w:sz w:val="22"/>
                <w:szCs w:val="22"/>
              </w:rPr>
              <w:t xml:space="preserve">HIGH — required for implementation completeness</w:t>
            </w:r>
          </w:p>
        </w:tc>
      </w:tr>
    </w:tbl>
    <w:p>
      <w:pPr>
        <w:pStyle w:val="Heading2"/>
      </w:pPr>
      <w:r>
        <w:rPr>
          <w:rFonts w:ascii="Calibri(Headings)" w:cs="Calibri(Headings)" w:eastAsia="Calibri(Headings)" w:hAnsi="Calibri(Headings)"/>
          <w:b/>
          <w:bCs/>
          <w:color w:val="2E75B6"/>
          <w:sz w:val="26"/>
          <w:szCs w:val="26"/>
        </w:rPr>
        <w:t xml:space="preserve">4.3  FM 3.3 — Operator Ambiguity</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Medium Confidence — show interpretation and confirm</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ISO 10303 STEP and OGC Simple Features prevent operator ambiguity architecturally through strict typing. Every entity has a precisely typed schema; every function has an unambiguous signature. Two operators cannot share an overlapping match pattern because the type system prevents it.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XYZ-SPEC-002's Medium Confidence response (show interpretation, confirm) is the correct runtime behaviour when ambiguity occurs.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XYZ-SPEC-002 treats operator ambiguity as a runtime condition to be managed. Industry standards treat it as a design defect to be prevented. The spec has no catalog validation rule requiring that operator syntax patterns are mutually exclusive. Frequent Medium Confidence triggers on the same operator pair are a signal of a catalog design problem — not a normal operating condition.</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Add a Catalog Validation Rule to XYZ-SPEC-002: all operator syntax patterns must be mutually exclusive. Add a monitoring rule to Section 9.2: any operator pair that triggers Medium Confidence more than 15% of the time must be reviewed for syntax pattern overlap and corrected in the catalog.</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E67E22"/>
                <w:sz w:val="22"/>
                <w:szCs w:val="22"/>
              </w:rPr>
              <w:t xml:space="preserve">MEDIUM — catalog design rule; does not block current implementation</w:t>
            </w:r>
          </w:p>
        </w:tc>
      </w:tr>
    </w:tbl>
    <w:p>
      <w:pPr>
        <w:pStyle w:val="Heading2"/>
      </w:pPr>
      <w:r>
        <w:rPr>
          <w:rFonts w:ascii="Calibri(Headings)" w:cs="Calibri(Headings)" w:eastAsia="Calibri(Headings)" w:hAnsi="Calibri(Headings)"/>
          <w:b/>
          <w:bCs/>
          <w:color w:val="2E75B6"/>
          <w:sz w:val="26"/>
          <w:szCs w:val="26"/>
        </w:rPr>
        <w:t xml:space="preserve">4.4  FM 3.4 — Missing or Stale Registry Reference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Loud Failure (live registry) / Silent Failure risk (stale registry)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ACIS and Parasolid use reference-counted entity handles invalidated immediately on deletion — stale references cause immediate kernel-level errors. IFC uses persistent GUIDs; deleted entity references return null. Both approaches make stale references architecturally impossible to miss.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 correctly identifies the stale registry as the highest-risk variant and classifies it as Silent Failure risk. The dual classification is accurate.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XYZ-SPEC-002 acknowledges the stale registry risk but defers the solution with "requires live registry sync mechanism." It does not define what "live" means: per-command re-query, per-session snapshot, or event-driven update on every XyzPilot geometry operation. Without this definition, implementers cannot build a compliant registry layer.</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Add a Registry Liveness Definition to XYZ-SPEC-002: the registry MUST be re-queried on every agent command invocation (per-command model). Event-driven updates are acceptable as a performance optimisation only if they guarantee zero-latency propagation of deletions and modifications. Snapshot models are explicitly prohibited.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E67E22"/>
                <w:sz w:val="22"/>
                <w:szCs w:val="22"/>
              </w:rPr>
              <w:t xml:space="preserve">HIGH — required before production deployment</w:t>
            </w:r>
          </w:p>
        </w:tc>
      </w:tr>
    </w:tbl>
    <w:p>
      <w:pPr>
        <w:pStyle w:val="Heading2"/>
      </w:pPr>
      <w:r>
        <w:rPr>
          <w:rFonts w:ascii="Calibri(Headings)" w:cs="Calibri(Headings)" w:eastAsia="Calibri(Headings)" w:hAnsi="Calibri(Headings)"/>
          <w:b/>
          <w:bCs/>
          <w:color w:val="2E75B6"/>
          <w:sz w:val="26"/>
          <w:szCs w:val="26"/>
        </w:rPr>
        <w:t xml:space="preserve">4.5  FM 3.5 — Forward Reference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Out of scope — return informative error</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Parametric CAD systems (SolidWorks, Fusion 360) support forward references through deferred constraint resolution — a "dangling reference" is flagged as a warning and resolved when the referenced geometry is created. ISO 10303 STEP supports forward references within a file transaction. Both treat forward references as recoverable warnings, not hard errors.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XYZ-SPEC-002's "return informative error" is pragmatically correct for a v1 implementation. The rejection is safe — no wrong geometry is produced.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XYZ-SPEC-002's classification is more conservative than industry practice. Parametric CAD tools treat forward references as warnings (recoverable), not errors (terminal). Users coming from SolidWorks or Fusion 360 backgrounds will find the hard rejection confusing and limiting. The spec does not document this as a deliberate v1 constraint or define a future scope for deferred execution.</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Add a Known Limitation note to XYZ-SPEC-002 FM 3.5: "Forward references are rejected in v1 as a deliberate conservative constraint. Deferred execution and dependency chaining are designated as Phase 2 capabilities (see XYZ-SPEC-003 Section 9.3)." This sets user expectations and creates a clear future scope entry.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LOW — documentation only; no implementation change required for v1</w:t>
            </w:r>
          </w:p>
        </w:tc>
      </w:tr>
    </w:tbl>
    <w:p>
      <w:pPr>
        <w:pStyle w:val="Heading2"/>
      </w:pPr>
      <w:r>
        <w:rPr>
          <w:rFonts w:ascii="Calibri(Headings)" w:cs="Calibri(Headings)" w:eastAsia="Calibri(Headings)" w:hAnsi="Calibri(Headings)"/>
          <w:b/>
          <w:bCs/>
          <w:color w:val="2E75B6"/>
          <w:sz w:val="26"/>
          <w:szCs w:val="26"/>
        </w:rPr>
        <w:t xml:space="preserve">4.6  FM 3.6 — Catalog Gap</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 Classification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None confidence — return "not supported" with nearest alternatives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Industry Practice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NLP interfaces for BIM (Autodesk Forma AI) return the closest supported operation with an explanation when an unsupported command is issued. Semantic similarity scoring against the catalog ranks alternatives. OpenCASCADE has no catalog gap concept — the API is the catalog.</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Overlap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7AE60"/>
                <w:sz w:val="22"/>
                <w:szCs w:val="22"/>
              </w:rPr>
              <w:t xml:space="preserve">XYZ-SPEC-002's response (return "not supported" with alternatives) matches industry NLP practice precisely.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Gap</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C0392B"/>
                <w:sz w:val="22"/>
                <w:szCs w:val="22"/>
              </w:rPr>
              <w:t xml:space="preserve">XYZ-SPEC-002 says "suggest nearest available alternatives" but does not define how "nearest" is determined. Without a similarity metric, the agent cannot rank alternatives consistently. Two different implementations of the same spec could return completely different alternatives for the same unsupported command.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Recommended Action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Define a Similarity Metric for alternative suggestions in XYZ-SPEC-002: alternatives are ranked by (a) overlapping input types, then (b) similar geometric output type, then (c) lexical similarity of operator name. A maximum of three alternatives should be returned. See Section 9.2 of this document for the full ranking algorithm.</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Priority</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color w:val="E67E22"/>
                <w:sz w:val="22"/>
                <w:szCs w:val="22"/>
              </w:rPr>
              <w:t xml:space="preserve">MEDIUM — improves user experience; does not block implementation</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fm37" w:id="1"/>
      <w:r>
        <w:rPr>
          <w:rFonts w:ascii="Calibri(Headings)" w:cs="Calibri(Headings)" w:eastAsia="Calibri(Headings)" w:hAnsi="Calibri(Headings)"/>
          <w:b/>
          <w:bCs/>
          <w:color w:val="4F81BD"/>
          <w:sz w:val="32"/>
          <w:szCs w:val="32"/>
        </w:rPr>
        <w:t xml:space="preserve">5.  Structural Gap — FM 3.7: Downstream Dependency Invalidation</w:t>
      </w:r>
      <w:bookmarkEnd w:id="1"/>
    </w:p>
    <w:p>
      <w:pPr>
        <w:spacing w:after="120" w:before="80"/>
      </w:pPr>
      <w:r>
        <w:rPr>
          <w:rFonts w:ascii="Cambria" w:cs="Cambria" w:eastAsia="Cambria" w:hAnsi="Cambria"/>
          <w:sz w:val="24"/>
          <w:szCs w:val="24"/>
        </w:rPr>
        <w:t xml:space="preserve">This failure mode is present in all major industry geometric kernels but is entirely absent from XYZ-SPEC-002. It is the most significant structural gap in the current specification series.</w:t>
      </w:r>
    </w:p>
    <w:p>
      <w:pPr>
        <w:pBdr>
          <w:left w:val="single" w:color="E67E22" w:sz="12"/>
        </w:pBdr>
        <w:spacing w:after="80" w:before="80"/>
        <w:ind w:left="720"/>
      </w:pPr>
      <w:r>
        <w:rPr>
          <w:rFonts w:ascii="Cambria" w:cs="Cambria" w:eastAsia="Cambria" w:hAnsi="Cambria"/>
          <w:b/>
          <w:bCs/>
          <w:color w:val="E67E22"/>
          <w:sz w:val="24"/>
          <w:szCs w:val="24"/>
        </w:rPr>
        <w:t xml:space="preserve">Scope clarification (XYZ-SPEC-001 §2 — Two-Tier Entity Model): </w:t>
      </w:r>
      <w:r>
        <w:rPr>
          <w:rFonts w:ascii="Cambria" w:cs="Cambria" w:eastAsia="Cambria" w:hAnsi="Cambria"/>
          <w:color w:val="2E4057"/>
          <w:sz w:val="24"/>
          <w:szCs w:val="24"/>
        </w:rPr>
        <w:t xml:space="preserve">FM 3.7 applies exclusively to </w:t>
      </w:r>
      <w:r>
        <w:rPr>
          <w:rFonts w:ascii="Cambria" w:cs="Cambria" w:eastAsia="Cambria" w:hAnsi="Cambria"/>
          <w:b/>
          <w:bCs/>
          <w:color w:val="2E4057"/>
          <w:sz w:val="24"/>
          <w:szCs w:val="24"/>
        </w:rPr>
        <w:t xml:space="preserve">product-tier entities</w:t>
      </w:r>
      <w:r>
        <w:rPr>
          <w:rFonts w:ascii="Cambria" w:cs="Cambria" w:eastAsia="Cambria" w:hAnsi="Cambria"/>
          <w:color w:val="2E4057"/>
          <w:sz w:val="24"/>
          <w:szCs w:val="24"/>
        </w:rPr>
        <w:t xml:space="preserve"> (Lines, Arcs, Circles, Toolpaths). Points are construction-tier entities — they are disposable by design. Deleting a Point after product geometry has been baked from it does </w:t>
      </w:r>
      <w:r>
        <w:rPr>
          <w:rFonts w:ascii="Cambria" w:cs="Cambria" w:eastAsia="Cambria" w:hAnsi="Cambria"/>
          <w:b/>
          <w:bCs/>
          <w:color w:val="2E4057"/>
          <w:sz w:val="24"/>
          <w:szCs w:val="24"/>
          <w:u w:val="single"/>
        </w:rPr>
        <w:t xml:space="preserve">not</w:t>
      </w:r>
      <w:r>
        <w:rPr>
          <w:rFonts w:ascii="Cambria" w:cs="Cambria" w:eastAsia="Cambria" w:hAnsi="Cambria"/>
          <w:color w:val="2E4057"/>
          <w:sz w:val="24"/>
          <w:szCs w:val="24"/>
        </w:rPr>
        <w:t xml:space="preserve"> constitute a downstream dependency invalidation and does not trigger FM 3.7. The dependency graph defined in XYZ-SPEC-004 tracks product-tier relationships only.</w:t>
      </w:r>
    </w:p>
    <w:p>
      <w:pPr>
        <w:pStyle w:val="Heading2"/>
      </w:pPr>
      <w:r>
        <w:rPr>
          <w:rFonts w:ascii="Calibri(Headings)" w:cs="Calibri(Headings)" w:eastAsia="Calibri(Headings)" w:hAnsi="Calibri(Headings)"/>
          <w:b/>
          <w:bCs/>
          <w:color w:val="2E75B6"/>
          <w:sz w:val="26"/>
          <w:szCs w:val="26"/>
        </w:rPr>
        <w:t xml:space="preserve">5.1  Definition</w:t>
      </w:r>
    </w:p>
    <w:p>
      <w:pPr>
        <w:spacing w:after="80" w:before="80"/>
      </w:pPr>
      <w:r>
        <w:rPr>
          <w:rFonts w:ascii="Cambria" w:cs="Cambria" w:eastAsia="Cambria" w:hAnsi="Cambria"/>
          <w:sz w:val="24"/>
          <w:szCs w:val="24"/>
        </w:rPr>
        <w:t xml:space="preserve">Downstream Dependency Invalidation occurs when a </w:t>
      </w:r>
      <w:r>
        <w:rPr>
          <w:rFonts w:ascii="Cambria" w:cs="Cambria" w:eastAsia="Cambria" w:hAnsi="Cambria"/>
          <w:b/>
          <w:bCs/>
          <w:sz w:val="24"/>
          <w:szCs w:val="24"/>
        </w:rPr>
        <w:t xml:space="preserve">product-tier</w:t>
      </w:r>
      <w:r>
        <w:rPr>
          <w:rFonts w:ascii="Cambria" w:cs="Cambria" w:eastAsia="Cambria" w:hAnsi="Cambria"/>
          <w:sz w:val="24"/>
          <w:szCs w:val="24"/>
        </w:rPr>
        <w:t xml:space="preserve"> geometry entity (Line, Arc, Circle, or Toolpath) that was created correctly and used as an input to subsequent product-tier operations is later modified, rendering those downstream operations geometrically inconsistent — without any error being raised at the time of modification.</w:t>
      </w:r>
    </w:p>
    <w:p>
      <w:pPr>
        <w:pStyle w:val="CodeBlock"/>
      </w:pPr>
      <w:r>
        <w:rPr>
          <w:rFonts w:ascii="Consolas" w:cs="Consolas" w:eastAsia="Consolas" w:hAnsi="Consolas"/>
          <w:sz w:val="20"/>
          <w:szCs w:val="20"/>
        </w:rPr>
        <w:t xml:space="preserve">Step 1: L2 = Line defined by two points (baked — points may now be deleted)</w:t>
      </w:r>
    </w:p>
    <w:p>
      <w:pPr>
        <w:pStyle w:val="CodeBlock"/>
      </w:pPr>
      <w:r>
        <w:rPr>
          <w:rFonts w:ascii="Consolas" w:cs="Consolas" w:eastAsia="Consolas" w:hAnsi="Consolas"/>
          <w:sz w:val="20"/>
          <w:szCs w:val="20"/>
        </w:rPr>
        <w:t xml:space="preserve">Step 2: A3 = Arc_TangentToLine(L2, ...)          → Created correctly, depends on L2</w:t>
      </w:r>
    </w:p>
    <w:p>
      <w:pPr>
        <w:pStyle w:val="CodeBlock"/>
      </w:pPr>
      <w:r>
        <w:rPr>
          <w:rFonts w:ascii="Consolas" w:cs="Consolas" w:eastAsia="Consolas" w:hAnsi="Consolas"/>
          <w:sz w:val="20"/>
          <w:szCs w:val="20"/>
        </w:rPr>
        <w:t xml:space="preserve">Step 3: L2 is modified (product-tier change)     → A3 is now geometrically inconsistent</w:t>
      </w:r>
    </w:p>
    <w:p>
      <w:pPr>
        <w:pStyle w:val="CodeBlock"/>
      </w:pPr>
      <w:r>
        <w:rPr>
          <w:rFonts w:ascii="Consolas" w:cs="Consolas" w:eastAsia="Consolas" w:hAnsi="Consolas"/>
          <w:sz w:val="20"/>
          <w:szCs w:val="20"/>
        </w:rPr>
        <w:t xml:space="preserve">Result: No error raised. A3 exists but its tangency constraint is violated. Silent failure.</w:t>
      </w:r>
    </w:p>
    <w:p>
      <w:pPr>
        <w:spacing w:after="80" w:before="80"/>
      </w:pPr>
      <w:r>
        <w:rPr>
          <w:rFonts w:ascii="Cambria" w:cs="Cambria" w:eastAsia="Cambria" w:hAnsi="Cambria"/>
          <w:b/>
          <w:bCs/>
          <w:sz w:val="24"/>
          <w:szCs w:val="24"/>
        </w:rPr>
        <w:t xml:space="preserve">Note: </w:t>
      </w:r>
      <w:r>
        <w:rPr>
          <w:rFonts w:ascii="Cambria" w:cs="Cambria" w:eastAsia="Cambria" w:hAnsi="Cambria"/>
          <w:sz w:val="24"/>
          <w:szCs w:val="24"/>
        </w:rPr>
        <w:t xml:space="preserve">If a Point used to construct L2 is deleted after L2 is baked, this is </w:t>
      </w:r>
      <w:r>
        <w:rPr>
          <w:rFonts w:ascii="Cambria" w:cs="Cambria" w:eastAsia="Cambria" w:hAnsi="Cambria"/>
          <w:b/>
          <w:bCs/>
          <w:sz w:val="24"/>
          <w:szCs w:val="24"/>
        </w:rPr>
        <w:t xml:space="preserve">not</w:t>
      </w:r>
      <w:r>
        <w:rPr>
          <w:rFonts w:ascii="Cambria" w:cs="Cambria" w:eastAsia="Cambria" w:hAnsi="Cambria"/>
          <w:sz w:val="24"/>
          <w:szCs w:val="24"/>
        </w:rPr>
        <w:t xml:space="preserve"> FM 3.7. L2's geometry is fixed at bake time. Point deletion has no downstream effect.</w:t>
      </w:r>
    </w:p>
    <w:p>
      <w:pPr>
        <w:pStyle w:val="Heading2"/>
      </w:pPr>
      <w:r>
        <w:rPr>
          <w:rFonts w:ascii="Calibri(Headings)" w:cs="Calibri(Headings)" w:eastAsia="Calibri(Headings)" w:hAnsi="Calibri(Headings)"/>
          <w:b/>
          <w:bCs/>
          <w:color w:val="2E75B6"/>
          <w:sz w:val="26"/>
          <w:szCs w:val="26"/>
        </w:rPr>
        <w:t xml:space="preserve">5.2  Industry Handling</w:t>
      </w:r>
    </w:p>
    <w:p>
      <w:pPr>
        <w:spacing w:after="80" w:before="80"/>
      </w:pPr>
      <w:r>
        <w:rPr>
          <w:rFonts w:ascii="Cambria" w:cs="Cambria" w:eastAsia="Cambria" w:hAnsi="Cambria"/>
          <w:sz w:val="24"/>
          <w:szCs w:val="24"/>
        </w:rPr>
        <w:t xml:space="preserve">ACIS and Parasolid handle this through </w:t>
      </w:r>
      <w:r>
        <w:rPr>
          <w:rFonts w:ascii="Cambria" w:cs="Cambria" w:eastAsia="Cambria" w:hAnsi="Cambria"/>
          <w:b/>
          <w:bCs/>
          <w:sz w:val="24"/>
          <w:szCs w:val="24"/>
        </w:rPr>
        <w:t xml:space="preserve">topological dependency tracking</w:t>
      </w:r>
      <w:r>
        <w:rPr>
          <w:rFonts w:ascii="Cambria" w:cs="Cambria" w:eastAsia="Cambria" w:hAnsi="Cambria"/>
          <w:sz w:val="24"/>
          <w:szCs w:val="24"/>
        </w:rPr>
        <w:t xml:space="preserve"> — every entity maintains a record of what it depends on and what depends on it. When an entity is modified, the kernel propagates a "dirty" flag to all downstream dependents and either:</w:t>
      </w:r>
    </w:p>
    <w:p>
      <w:pPr>
        <w:pStyle w:val="ListParagraph"/>
        <w:numPr>
          <w:ilvl w:val="0"/>
          <w:numId w:val="2"/>
        </w:numPr>
      </w:pPr>
      <w:r>
        <w:rPr>
          <w:rFonts w:ascii="Cambria" w:cs="Cambria" w:eastAsia="Cambria" w:hAnsi="Cambria"/>
          <w:sz w:val="24"/>
          <w:szCs w:val="24"/>
        </w:rPr>
        <w:t xml:space="preserve">Automatically recomputes downstream entities (parametric update), or</w:t>
      </w:r>
    </w:p>
    <w:p>
      <w:pPr>
        <w:pStyle w:val="ListParagraph"/>
        <w:numPr>
          <w:ilvl w:val="0"/>
          <w:numId w:val="2"/>
        </w:numPr>
      </w:pPr>
      <w:r>
        <w:rPr>
          <w:rFonts w:ascii="Cambria" w:cs="Cambria" w:eastAsia="Cambria" w:hAnsi="Cambria"/>
          <w:sz w:val="24"/>
          <w:szCs w:val="24"/>
        </w:rPr>
        <w:t xml:space="preserve">Flags them as invalid and requires user resolution before the model can be used further</w:t>
      </w:r>
    </w:p>
    <w:p>
      <w:pPr>
        <w:spacing w:after="80" w:before="80"/>
      </w:pPr>
      <w:r>
        <w:rPr>
          <w:rFonts w:ascii="Cambria" w:cs="Cambria" w:eastAsia="Cambria" w:hAnsi="Cambria"/>
          <w:sz w:val="24"/>
          <w:szCs w:val="24"/>
        </w:rPr>
        <w:t xml:space="preserve">SolidWorks calls these "dangling relations." Fusion 360 calls them "broken references." Both surface them as explicit warnings in the model tree. Neither allows the model to proceed silently with inconsistent geometry.</w:t>
      </w:r>
    </w:p>
    <w:p>
      <w:pPr>
        <w:pStyle w:val="Heading2"/>
      </w:pPr>
      <w:r>
        <w:rPr>
          <w:rFonts w:ascii="Calibri(Headings)" w:cs="Calibri(Headings)" w:eastAsia="Calibri(Headings)" w:hAnsi="Calibri(Headings)"/>
          <w:b/>
          <w:bCs/>
          <w:color w:val="2E75B6"/>
          <w:sz w:val="26"/>
          <w:szCs w:val="26"/>
        </w:rPr>
        <w:t xml:space="preserve">5.3  Current XyzPilot Exposure</w:t>
      </w:r>
    </w:p>
    <w:p>
      <w:pPr>
        <w:spacing w:after="80" w:before="80"/>
      </w:pPr>
      <w:r>
        <w:rPr>
          <w:rFonts w:ascii="Cambria" w:cs="Cambria" w:eastAsia="Cambria" w:hAnsi="Cambria"/>
          <w:sz w:val="24"/>
          <w:szCs w:val="24"/>
        </w:rPr>
        <w:t xml:space="preserve">XyzPilot's current registry model stores product-tier entities as independent records with no dependency graph. There is no mechanism to:</w:t>
      </w:r>
    </w:p>
    <w:p>
      <w:pPr>
        <w:pStyle w:val="ListParagraph"/>
        <w:numPr>
          <w:ilvl w:val="0"/>
          <w:numId w:val="2"/>
        </w:numPr>
      </w:pPr>
      <w:r>
        <w:rPr>
          <w:rFonts w:ascii="Cambria" w:cs="Cambria" w:eastAsia="Cambria" w:hAnsi="Cambria"/>
          <w:sz w:val="24"/>
          <w:szCs w:val="24"/>
        </w:rPr>
        <w:t xml:space="preserve">Know which product-tier entities were used as inputs to create other product-tier entities</w:t>
      </w:r>
    </w:p>
    <w:p>
      <w:pPr>
        <w:pStyle w:val="ListParagraph"/>
        <w:numPr>
          <w:ilvl w:val="0"/>
          <w:numId w:val="2"/>
        </w:numPr>
      </w:pPr>
      <w:r>
        <w:rPr>
          <w:rFonts w:ascii="Cambria" w:cs="Cambria" w:eastAsia="Cambria" w:hAnsi="Cambria"/>
          <w:sz w:val="24"/>
          <w:szCs w:val="24"/>
        </w:rPr>
        <w:t xml:space="preserve">Propagate modification events to downstream product-tier dependents</w:t>
      </w:r>
    </w:p>
    <w:p>
      <w:pPr>
        <w:pStyle w:val="ListParagraph"/>
        <w:numPr>
          <w:ilvl w:val="0"/>
          <w:numId w:val="2"/>
        </w:numPr>
      </w:pPr>
      <w:r>
        <w:rPr>
          <w:rFonts w:ascii="Cambria" w:cs="Cambria" w:eastAsia="Cambria" w:hAnsi="Cambria"/>
          <w:sz w:val="24"/>
          <w:szCs w:val="24"/>
        </w:rPr>
        <w:t xml:space="preserve">Flag or reject operations that would create geometric inconsistency in the product tier</w:t>
      </w:r>
    </w:p>
    <w:p>
      <w:pPr>
        <w:spacing w:after="80" w:before="80"/>
      </w:pPr>
      <w:r>
        <w:rPr>
          <w:rFonts w:ascii="Cambria" w:cs="Cambria" w:eastAsia="Cambria" w:hAnsi="Cambria"/>
          <w:sz w:val="24"/>
          <w:szCs w:val="24"/>
        </w:rPr>
        <w:t xml:space="preserve">This means FM 3.7 is currently a </w:t>
      </w:r>
      <w:r>
        <w:rPr>
          <w:rFonts w:ascii="Cambria" w:cs="Cambria" w:eastAsia="Cambria" w:hAnsi="Cambria"/>
          <w:b/>
          <w:bCs/>
          <w:color w:val="C0392B"/>
          <w:sz w:val="24"/>
          <w:szCs w:val="24"/>
        </w:rPr>
        <w:t xml:space="preserve">Silent Failure</w:t>
      </w:r>
      <w:r>
        <w:rPr>
          <w:rFonts w:ascii="Cambria" w:cs="Cambria" w:eastAsia="Cambria" w:hAnsi="Cambria"/>
          <w:sz w:val="24"/>
          <w:szCs w:val="24"/>
        </w:rPr>
        <w:t xml:space="preserve"> — the most dangerous classification. A user can build a complex model over many operations, modify an early product-tier entity, and have no indication that downstream geometry is now inconsistent.</w:t>
      </w:r>
    </w:p>
    <w:p>
      <w:pPr>
        <w:pStyle w:val="Heading2"/>
      </w:pPr>
      <w:r>
        <w:rPr>
          <w:rFonts w:ascii="Calibri(Headings)" w:cs="Calibri(Headings)" w:eastAsia="Calibri(Headings)" w:hAnsi="Calibri(Headings)"/>
          <w:b/>
          <w:bCs/>
          <w:color w:val="2E75B6"/>
          <w:sz w:val="26"/>
          <w:szCs w:val="26"/>
        </w:rPr>
        <w:t xml:space="preserve">5.4  Recommended Specification Action</w:t>
      </w:r>
    </w:p>
    <w:p>
      <w:pPr>
        <w:spacing w:after="80" w:before="80"/>
      </w:pPr>
      <w:r>
        <w:rPr>
          <w:rFonts w:ascii="Cambria" w:cs="Cambria" w:eastAsia="Cambria" w:hAnsi="Cambria"/>
          <w:sz w:val="24"/>
          <w:szCs w:val="24"/>
        </w:rPr>
        <w:t xml:space="preserve">FM 3.7 warrants a dedicated specification: </w:t>
      </w:r>
      <w:r>
        <w:rPr>
          <w:rFonts w:ascii="Cambria" w:cs="Cambria" w:eastAsia="Cambria" w:hAnsi="Cambria"/>
          <w:b/>
          <w:bCs/>
          <w:sz w:val="24"/>
          <w:szCs w:val="24"/>
        </w:rPr>
        <w:t xml:space="preserve">XYZ-SPEC-004: Dependency Graph &amp; Propagation Protocol</w:t>
      </w:r>
      <w:r>
        <w:rPr>
          <w:rFonts w:ascii="Cambria" w:cs="Cambria" w:eastAsia="Cambria" w:hAnsi="Cambria"/>
          <w:sz w:val="24"/>
          <w:szCs w:val="24"/>
        </w:rPr>
        <w:t xml:space="preserve"> (now published). That specification defines the dependency graph scoped to product-tier entities, covering:</w:t>
      </w:r>
    </w:p>
    <w:p>
      <w:pPr>
        <w:pStyle w:val="ListParagraph"/>
        <w:numPr>
          <w:ilvl w:val="0"/>
          <w:numId w:val="2"/>
        </w:numPr>
      </w:pPr>
      <w:r>
        <w:rPr>
          <w:rFonts w:ascii="Cambria" w:cs="Cambria" w:eastAsia="Cambria" w:hAnsi="Cambria"/>
          <w:sz w:val="24"/>
          <w:szCs w:val="24"/>
        </w:rPr>
        <w:t xml:space="preserve">The dependency graph data model — how product-tier entities record their inputs and dependents</w:t>
      </w:r>
    </w:p>
    <w:p>
      <w:pPr>
        <w:pStyle w:val="ListParagraph"/>
        <w:numPr>
          <w:ilvl w:val="0"/>
          <w:numId w:val="2"/>
        </w:numPr>
      </w:pPr>
      <w:r>
        <w:rPr>
          <w:rFonts w:ascii="Cambria" w:cs="Cambria" w:eastAsia="Cambria" w:hAnsi="Cambria"/>
          <w:sz w:val="24"/>
          <w:szCs w:val="24"/>
        </w:rPr>
        <w:t xml:space="preserve">The propagation protocol — what happens when a product-tier entity is modified</w:t>
      </w:r>
    </w:p>
    <w:p>
      <w:pPr>
        <w:pStyle w:val="ListParagraph"/>
        <w:numPr>
          <w:ilvl w:val="0"/>
          <w:numId w:val="2"/>
        </w:numPr>
      </w:pPr>
      <w:r>
        <w:rPr>
          <w:rFonts w:ascii="Cambria" w:cs="Cambria" w:eastAsia="Cambria" w:hAnsi="Cambria"/>
          <w:sz w:val="24"/>
          <w:szCs w:val="24"/>
        </w:rPr>
        <w:t xml:space="preserve">The user notification model — how downstream invalidation is surfaced</w:t>
      </w:r>
    </w:p>
    <w:p>
      <w:pPr>
        <w:pStyle w:val="ListParagraph"/>
        <w:numPr>
          <w:ilvl w:val="0"/>
          <w:numId w:val="2"/>
        </w:numPr>
      </w:pPr>
      <w:r>
        <w:rPr>
          <w:rFonts w:ascii="Cambria" w:cs="Cambria" w:eastAsia="Cambria" w:hAnsi="Cambria"/>
          <w:sz w:val="24"/>
          <w:szCs w:val="24"/>
        </w:rPr>
        <w:t xml:space="preserve">The resolution protocol — what the agent does when a user attempts to use an invalidated entity</w:t>
      </w:r>
    </w:p>
    <w:p>
      <w:pPr>
        <w:pStyle w:val="ListParagraph"/>
        <w:numPr>
          <w:ilvl w:val="0"/>
          <w:numId w:val="2"/>
        </w:numPr>
      </w:pPr>
      <w:r>
        <w:rPr>
          <w:rFonts w:ascii="Cambria" w:cs="Cambria" w:eastAsia="Cambria" w:hAnsi="Cambria"/>
          <w:sz w:val="24"/>
          <w:szCs w:val="24"/>
        </w:rPr>
        <w:t xml:space="preserve">Explicit exclusion of construction-tier Points from all dependency tracking and propagation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severity" w:id="1"/>
      <w:r>
        <w:rPr>
          <w:rFonts w:ascii="Calibri(Headings)" w:cs="Calibri(Headings)" w:eastAsia="Calibri(Headings)" w:hAnsi="Calibri(Headings)"/>
          <w:b/>
          <w:bCs/>
          <w:color w:val="4F81BD"/>
          <w:sz w:val="32"/>
          <w:szCs w:val="32"/>
        </w:rPr>
        <w:t xml:space="preserve">6.  Severity Classification Alignment</w:t>
      </w:r>
      <w:bookmarkEnd w:id="1"/>
    </w:p>
    <w:p>
      <w:pPr>
        <w:spacing w:after="120" w:before="80"/>
      </w:pPr>
      <w:r>
        <w:rPr>
          <w:rFonts w:ascii="Cambria" w:cs="Cambria" w:eastAsia="Cambria" w:hAnsi="Cambria"/>
          <w:sz w:val="24"/>
          <w:szCs w:val="24"/>
        </w:rPr>
        <w:t xml:space="preserve">The following table summarises the severity alignment assessment for all failure modes, including FM 3.7.</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520"/>
        <w:gridCol w:w="2160"/>
        <w:gridCol w:w="1440"/>
        <w:gridCol w:w="180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FM</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Failure Mode</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SPEC-002 Classification</w:t>
            </w:r>
          </w:p>
        </w:tc>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Aligned?</w:t>
            </w:r>
          </w:p>
        </w:tc>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Action Required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3.1</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Implicit Selector</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Silent Failure — Highest</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Elevate no-default to global rule</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Vague Spatial Reference</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Low Confidence</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Add spatial mapping table</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3.3</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Operator Ambiguity</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Medium Confidence</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Add catalog validation rule</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3.4</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Stale Registry</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Silent Failure risk</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Define registry liveness</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3.5</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Forward Reference</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Out of scope / Error</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 Partial</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Document as v1 constraint</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3.6</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Catalog Gap</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None / Informative error</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Define similarity metric</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3.7</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Downstream Dependency</w:t>
            </w:r>
          </w:p>
        </w:tc>
        <w:tc>
          <w:tcPr>
            <w:tcW w:type="dxa" w:w="21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Not in spec</w:t>
            </w:r>
          </w:p>
        </w:tc>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 Missing</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Add to spec; create SPEC-004</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catalog" w:id="1"/>
      <w:r>
        <w:rPr>
          <w:rFonts w:ascii="Calibri(Headings)" w:cs="Calibri(Headings)" w:eastAsia="Calibri(Headings)" w:hAnsi="Calibri(Headings)"/>
          <w:b/>
          <w:bCs/>
          <w:color w:val="4F81BD"/>
          <w:sz w:val="32"/>
          <w:szCs w:val="32"/>
        </w:rPr>
        <w:t xml:space="preserve">7.  Catalog Design Implications</w:t>
      </w:r>
      <w:bookmarkEnd w:id="1"/>
    </w:p>
    <w:p>
      <w:pPr>
        <w:spacing w:after="120" w:before="80"/>
      </w:pPr>
      <w:r>
        <w:rPr>
          <w:rFonts w:ascii="Cambria" w:cs="Cambria" w:eastAsia="Cambria" w:hAnsi="Cambria"/>
          <w:sz w:val="24"/>
          <w:szCs w:val="24"/>
        </w:rPr>
        <w:t xml:space="preserve">The gap analysis reveals that several failure modes in XYZ-SPEC-002 are symptoms of catalog design problems rather than runtime agent problems. The following catalog design rules should be adopted to prevent failure modes at source rather than managing them at runtime.</w:t>
      </w:r>
    </w:p>
    <w:p>
      <w:pPr>
        <w:pStyle w:val="Heading2"/>
      </w:pPr>
      <w:r>
        <w:rPr>
          <w:rFonts w:ascii="Calibri(Headings)" w:cs="Calibri(Headings)" w:eastAsia="Calibri(Headings)" w:hAnsi="Calibri(Headings)"/>
          <w:b/>
          <w:bCs/>
          <w:color w:val="2E75B6"/>
          <w:sz w:val="26"/>
          <w:szCs w:val="26"/>
        </w:rPr>
        <w:t xml:space="preserve">7.1  Mutual Exclusivity Rule</w:t>
      </w:r>
    </w:p>
    <w:p>
      <w:pPr>
        <w:spacing w:after="80" w:before="80"/>
      </w:pPr>
      <w:r>
        <w:rPr>
          <w:rFonts w:ascii="Cambria" w:cs="Cambria" w:eastAsia="Cambria" w:hAnsi="Cambria"/>
          <w:sz w:val="24"/>
          <w:szCs w:val="24"/>
        </w:rPr>
        <w:t xml:space="preserve">No two operators in the catalog may share an overlapping syntax pattern match. Before any new operator is added to the catalog, it must be validated against all existing operators to confirm its syntax pattern is unique. This eliminates FM 3.3 at source.</w:t>
      </w:r>
    </w:p>
    <w:p>
      <w:pPr>
        <w:pStyle w:val="Heading2"/>
      </w:pPr>
      <w:r>
        <w:rPr>
          <w:rFonts w:ascii="Calibri(Headings)" w:cs="Calibri(Headings)" w:eastAsia="Calibri(Headings)" w:hAnsi="Calibri(Headings)"/>
          <w:b/>
          <w:bCs/>
          <w:color w:val="2E75B6"/>
          <w:sz w:val="26"/>
          <w:szCs w:val="26"/>
        </w:rPr>
        <w:t xml:space="preserve">7.2  Candidate Count Declaration</w:t>
      </w:r>
    </w:p>
    <w:p>
      <w:pPr>
        <w:spacing w:after="80" w:before="80"/>
      </w:pPr>
      <w:r>
        <w:rPr>
          <w:rFonts w:ascii="Cambria" w:cs="Cambria" w:eastAsia="Cambria" w:hAnsi="Cambria"/>
          <w:sz w:val="24"/>
          <w:szCs w:val="24"/>
        </w:rPr>
        <w:t xml:space="preserve">Every operator in the catalog must declare its candidate count: 1 (deterministic) or 2 (two-candidate). This field drives the agent's disambiguation behaviour automatically — no runtime inference required. Operators with candidate count 2 always trigger the two-candidate presentation protocol regardless of confidence level.</w:t>
      </w:r>
    </w:p>
    <w:p>
      <w:pPr>
        <w:pStyle w:val="Heading2"/>
      </w:pPr>
      <w:r>
        <w:rPr>
          <w:rFonts w:ascii="Calibri(Headings)" w:cs="Calibri(Headings)" w:eastAsia="Calibri(Headings)" w:hAnsi="Calibri(Headings)"/>
          <w:b/>
          <w:bCs/>
          <w:color w:val="2E75B6"/>
          <w:sz w:val="26"/>
          <w:szCs w:val="26"/>
        </w:rPr>
        <w:t xml:space="preserve">7.3  Input Type Strict Typing</w:t>
      </w:r>
    </w:p>
    <w:p>
      <w:pPr>
        <w:spacing w:after="80" w:before="80"/>
      </w:pPr>
      <w:r>
        <w:rPr>
          <w:rFonts w:ascii="Cambria" w:cs="Cambria" w:eastAsia="Cambria" w:hAnsi="Cambria"/>
          <w:sz w:val="24"/>
          <w:szCs w:val="24"/>
        </w:rPr>
        <w:t xml:space="preserve">Every operator input must declare its required entity type (Point, Line, Circle, etc.). The agent validates input types against the registry before operator matching. A user referencing L2 in a context that requires a Circle is rejected at the type-check stage, not the execution stage. This aligns with ISO 10303's strict typing approach.</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orrection" w:id="1"/>
      <w:r>
        <w:rPr>
          <w:rFonts w:ascii="Calibri(Headings)" w:cs="Calibri(Headings)" w:eastAsia="Calibri(Headings)" w:hAnsi="Calibri(Headings)"/>
          <w:b/>
          <w:bCs/>
          <w:color w:val="4F81BD"/>
          <w:sz w:val="32"/>
          <w:szCs w:val="32"/>
        </w:rPr>
        <w:t xml:space="preserve">8.  Immediate Correction to XYZ-SPEC-002</w:t>
      </w:r>
      <w:bookmarkEnd w:id="1"/>
    </w:p>
    <w:p>
      <w:pPr>
        <w:spacing w:after="120" w:before="80"/>
      </w:pPr>
      <w:r>
        <w:rPr>
          <w:rFonts w:ascii="Cambria" w:cs="Cambria" w:eastAsia="Cambria" w:hAnsi="Cambria"/>
          <w:sz w:val="24"/>
          <w:szCs w:val="24"/>
        </w:rPr>
        <w:t xml:space="preserve">One finding from this gap analysis requires an immediate correction to XYZ-SPEC-002 rather than a future roadmap item. The correction is minor in scope but significant in safety impact.</w:t>
      </w:r>
    </w:p>
    <w:p>
      <w:pPr>
        <w:pStyle w:val="Heading2"/>
      </w:pPr>
      <w:r>
        <w:rPr>
          <w:rFonts w:ascii="Calibri(Headings)" w:cs="Calibri(Headings)" w:eastAsia="Calibri(Headings)" w:hAnsi="Calibri(Headings)"/>
          <w:b/>
          <w:bCs/>
          <w:color w:val="2E75B6"/>
          <w:sz w:val="26"/>
          <w:szCs w:val="26"/>
        </w:rPr>
        <w:t xml:space="preserve">8.1  Global No-Default Rule (FM 3.1)</w:t>
      </w:r>
    </w:p>
    <w:p>
      <w:pPr>
        <w:spacing w:after="80" w:before="80"/>
      </w:pPr>
      <w:r>
        <w:rPr>
          <w:rFonts w:ascii="Cambria" w:cs="Cambria" w:eastAsia="Cambria" w:hAnsi="Cambria"/>
          <w:b/>
          <w:bCs/>
          <w:sz w:val="24"/>
          <w:szCs w:val="24"/>
        </w:rPr>
        <w:t xml:space="preserve">Current state in XYZ-SPEC-002:</w:t>
      </w:r>
    </w:p>
    <w:p>
      <w:pPr>
        <w:spacing w:after="40" w:before="40"/>
        <w:ind w:left="720"/>
      </w:pPr>
      <w:r>
        <w:rPr>
          <w:rFonts w:ascii="Cambria" w:cs="Cambria" w:eastAsia="Cambria" w:hAnsi="Cambria"/>
          <w:i/>
          <w:iCs/>
          <w:color w:val="888888"/>
          <w:sz w:val="24"/>
          <w:szCs w:val="24"/>
        </w:rPr>
        <w:t xml:space="preserve">Section 7.1 forbids default selection for two-candidate intersection operators. Section 5 Step 3 permits selector inference under Medium Confidence for other operator classes.</w:t>
      </w:r>
    </w:p>
    <w:p>
      <w:pPr>
        <w:spacing w:after="80" w:before="80"/>
      </w:pPr>
      <w:r>
        <w:rPr>
          <w:rFonts w:ascii="Cambria" w:cs="Cambria" w:eastAsia="Cambria" w:hAnsi="Cambria"/>
          <w:b/>
          <w:bCs/>
          <w:sz w:val="24"/>
          <w:szCs w:val="24"/>
        </w:rPr>
        <w:t xml:space="preserve">Required correction:</w:t>
      </w:r>
    </w:p>
    <w:p>
      <w:pPr>
        <w:pBdr>
          <w:left w:val="single" w:color="C0392B" w:sz="12"/>
        </w:pBdr>
        <w:spacing w:after="40" w:before="40"/>
        <w:ind w:left="720"/>
      </w:pPr>
      <w:r>
        <w:rPr>
          <w:rFonts w:ascii="Cambria" w:cs="Cambria" w:eastAsia="Cambria" w:hAnsi="Cambria"/>
          <w:color w:val="C0392B"/>
          <w:sz w:val="24"/>
          <w:szCs w:val="24"/>
        </w:rPr>
        <w:t xml:space="preserve">Add the following rule to XYZ-SPEC-002 Section 5, Step 3, as a mandatory constraint: "For any operator with candidate count 2, default selection is forbidden regardless of confidence level, geometric context, or inferred selector. The agent MUST present both candidates and require explicit user selection before execution."</w:t>
      </w:r>
    </w:p>
    <w:p>
      <w:pPr>
        <w:spacing w:after="80" w:before="80"/>
      </w:pPr>
      <w:r>
        <w:rPr>
          <w:rFonts w:ascii="Cambria" w:cs="Cambria" w:eastAsia="Cambria" w:hAnsi="Cambria"/>
          <w:b/>
          <w:bCs/>
          <w:sz w:val="24"/>
          <w:szCs w:val="24"/>
        </w:rPr>
        <w:t xml:space="preserve">Rationale:</w:t>
      </w:r>
      <w:r>
        <w:rPr>
          <w:rFonts w:ascii="Cambria" w:cs="Cambria" w:eastAsia="Cambria" w:hAnsi="Cambria"/>
          <w:sz w:val="24"/>
          <w:szCs w:val="24"/>
        </w:rPr>
        <w:t xml:space="preserve"> Industry kernels (ACIS, Parasolid, OCCT) apply this rule universally. Silent wrong geometry from a defaulted selector is a Type II error in NASA/ESA fault taxonomy — the highest severity class. No performance or usability benefit justifies the risk.</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roadmap" w:id="1"/>
      <w:r>
        <w:rPr>
          <w:rFonts w:ascii="Calibri(Headings)" w:cs="Calibri(Headings)" w:eastAsia="Calibri(Headings)" w:hAnsi="Calibri(Headings)"/>
          <w:b/>
          <w:bCs/>
          <w:color w:val="4F81BD"/>
          <w:sz w:val="32"/>
          <w:szCs w:val="32"/>
        </w:rPr>
        <w:t xml:space="preserve">9.  Roadmap Priorities</w:t>
      </w:r>
      <w:bookmarkEnd w:id="1"/>
    </w:p>
    <w:p>
      <w:pPr>
        <w:spacing w:after="120" w:before="80"/>
      </w:pPr>
      <w:r>
        <w:rPr>
          <w:rFonts w:ascii="Cambria" w:cs="Cambria" w:eastAsia="Cambria" w:hAnsi="Cambria"/>
          <w:sz w:val="24"/>
          <w:szCs w:val="24"/>
        </w:rPr>
        <w:t xml:space="preserve">The following roadmap items are derived directly from the gap analysis findings. They are ordered by priority and grouped by phase.</w:t>
      </w:r>
    </w:p>
    <w:p>
      <w:pPr>
        <w:pStyle w:val="Heading2"/>
      </w:pPr>
      <w:r>
        <w:rPr>
          <w:rFonts w:ascii="Calibri(Headings)" w:cs="Calibri(Headings)" w:eastAsia="Calibri(Headings)" w:hAnsi="Calibri(Headings)"/>
          <w:b/>
          <w:bCs/>
          <w:color w:val="2E75B6"/>
          <w:sz w:val="26"/>
          <w:szCs w:val="26"/>
        </w:rPr>
        <w:t xml:space="preserve">9.1  Immediate (Before v1 Deployment)</w:t>
      </w:r>
    </w:p>
    <w:p>
      <w:pPr>
        <w:pStyle w:val="ListParagraph"/>
        <w:numPr>
          <w:ilvl w:val="0"/>
          <w:numId w:val="3"/>
        </w:numPr>
      </w:pPr>
      <w:r>
        <w:rPr>
          <w:rFonts w:ascii="Cambria" w:cs="Cambria" w:eastAsia="Cambria" w:hAnsi="Cambria"/>
          <w:sz w:val="24"/>
          <w:szCs w:val="24"/>
        </w:rPr>
        <w:t xml:space="preserve">Apply FM 3.1 global no-default correction to XYZ-SPEC-002 (Section 8.1 of this document)</w:t>
      </w:r>
    </w:p>
    <w:p>
      <w:pPr>
        <w:pStyle w:val="ListParagraph"/>
        <w:numPr>
          <w:ilvl w:val="0"/>
          <w:numId w:val="3"/>
        </w:numPr>
      </w:pPr>
      <w:r>
        <w:rPr>
          <w:rFonts w:ascii="Cambria" w:cs="Cambria" w:eastAsia="Cambria" w:hAnsi="Cambria"/>
          <w:sz w:val="24"/>
          <w:szCs w:val="24"/>
        </w:rPr>
        <w:t xml:space="preserve">Define registry liveness model in XYZ-SPEC-002 (per-command re-query as the required baseline)</w:t>
      </w:r>
    </w:p>
    <w:p>
      <w:pPr>
        <w:pStyle w:val="ListParagraph"/>
        <w:numPr>
          <w:ilvl w:val="0"/>
          <w:numId w:val="3"/>
        </w:numPr>
      </w:pPr>
      <w:r>
        <w:rPr>
          <w:rFonts w:ascii="Cambria" w:cs="Cambria" w:eastAsia="Cambria" w:hAnsi="Cambria"/>
          <w:sz w:val="24"/>
          <w:szCs w:val="24"/>
        </w:rPr>
        <w:t xml:space="preserve">Add candidate count field to all catalog operators</w:t>
      </w:r>
    </w:p>
    <w:p>
      <w:pPr>
        <w:pStyle w:val="ListParagraph"/>
        <w:numPr>
          <w:ilvl w:val="0"/>
          <w:numId w:val="3"/>
        </w:numPr>
      </w:pPr>
      <w:r>
        <w:rPr>
          <w:rFonts w:ascii="Cambria" w:cs="Cambria" w:eastAsia="Cambria" w:hAnsi="Cambria"/>
          <w:sz w:val="24"/>
          <w:szCs w:val="24"/>
        </w:rPr>
        <w:t xml:space="preserve">Add input type strict typing to all catalog operators</w:t>
      </w:r>
    </w:p>
    <w:p>
      <w:pPr>
        <w:pStyle w:val="Heading2"/>
      </w:pPr>
      <w:r>
        <w:rPr>
          <w:rFonts w:ascii="Calibri(Headings)" w:cs="Calibri(Headings)" w:eastAsia="Calibri(Headings)" w:hAnsi="Calibri(Headings)"/>
          <w:b/>
          <w:bCs/>
          <w:color w:val="2E75B6"/>
          <w:sz w:val="26"/>
          <w:szCs w:val="26"/>
        </w:rPr>
        <w:t xml:space="preserve">9.2  Phase 1 (Post-v1, Within 3 Months)</w:t>
      </w:r>
    </w:p>
    <w:p>
      <w:pPr>
        <w:pStyle w:val="ListParagraph"/>
        <w:numPr>
          <w:ilvl w:val="0"/>
          <w:numId w:val="4"/>
        </w:numPr>
      </w:pPr>
      <w:r>
        <w:rPr>
          <w:rFonts w:ascii="Cambria" w:cs="Cambria" w:eastAsia="Cambria" w:hAnsi="Cambria"/>
          <w:sz w:val="24"/>
          <w:szCs w:val="24"/>
        </w:rPr>
        <w:t xml:space="preserve">Build and publish Spatial Language Mapping Table as XYZ-SPEC-002 Appendix A</w:t>
      </w:r>
    </w:p>
    <w:p>
      <w:pPr>
        <w:pStyle w:val="ListParagraph"/>
        <w:numPr>
          <w:ilvl w:val="0"/>
          <w:numId w:val="4"/>
        </w:numPr>
      </w:pPr>
      <w:r>
        <w:rPr>
          <w:rFonts w:ascii="Cambria" w:cs="Cambria" w:eastAsia="Cambria" w:hAnsi="Cambria"/>
          <w:sz w:val="24"/>
          <w:szCs w:val="24"/>
        </w:rPr>
        <w:t xml:space="preserve">Define and implement alternative similarity metric for FM 3.6 catalog gap responses</w:t>
      </w:r>
    </w:p>
    <w:p>
      <w:pPr>
        <w:pStyle w:val="ListParagraph"/>
        <w:numPr>
          <w:ilvl w:val="0"/>
          <w:numId w:val="4"/>
        </w:numPr>
      </w:pPr>
      <w:r>
        <w:rPr>
          <w:rFonts w:ascii="Cambria" w:cs="Cambria" w:eastAsia="Cambria" w:hAnsi="Cambria"/>
          <w:sz w:val="24"/>
          <w:szCs w:val="24"/>
        </w:rPr>
        <w:t xml:space="preserve">Add catalog mutual exclusivity validation rule and tooling to enforce it on new operator additions</w:t>
      </w:r>
    </w:p>
    <w:p>
      <w:pPr>
        <w:pStyle w:val="ListParagraph"/>
        <w:numPr>
          <w:ilvl w:val="0"/>
          <w:numId w:val="4"/>
        </w:numPr>
      </w:pPr>
      <w:r>
        <w:rPr>
          <w:rFonts w:ascii="Cambria" w:cs="Cambria" w:eastAsia="Cambria" w:hAnsi="Cambria"/>
          <w:sz w:val="24"/>
          <w:szCs w:val="24"/>
        </w:rPr>
        <w:t xml:space="preserve">Add FM 3.7 as a documented known limitation to XYZ-SPEC-002 with Silent Failure classification</w:t>
      </w:r>
    </w:p>
    <w:p>
      <w:pPr>
        <w:pStyle w:val="ListParagraph"/>
        <w:numPr>
          <w:ilvl w:val="0"/>
          <w:numId w:val="4"/>
        </w:numPr>
      </w:pPr>
      <w:r>
        <w:rPr>
          <w:rFonts w:ascii="Cambria" w:cs="Cambria" w:eastAsia="Cambria" w:hAnsi="Cambria"/>
          <w:sz w:val="24"/>
          <w:szCs w:val="24"/>
        </w:rPr>
        <w:t xml:space="preserve">Add FM 3.5 known limitation note to XYZ-SPEC-002 with Phase 2 forward reference</w:t>
      </w:r>
    </w:p>
    <w:p>
      <w:pPr>
        <w:pStyle w:val="Heading2"/>
      </w:pPr>
      <w:r>
        <w:rPr>
          <w:rFonts w:ascii="Calibri(Headings)" w:cs="Calibri(Headings)" w:eastAsia="Calibri(Headings)" w:hAnsi="Calibri(Headings)"/>
          <w:b/>
          <w:bCs/>
          <w:color w:val="2E75B6"/>
          <w:sz w:val="26"/>
          <w:szCs w:val="26"/>
        </w:rPr>
        <w:t xml:space="preserve">9.3  Phase 2 (Future Specification Work)</w:t>
      </w:r>
    </w:p>
    <w:p>
      <w:pPr>
        <w:pStyle w:val="ListParagraph"/>
        <w:numPr>
          <w:ilvl w:val="0"/>
          <w:numId w:val="5"/>
        </w:numPr>
      </w:pPr>
      <w:r>
        <w:rPr>
          <w:rFonts w:ascii="Cambria" w:cs="Cambria" w:eastAsia="Cambria" w:hAnsi="Cambria"/>
          <w:sz w:val="24"/>
          <w:szCs w:val="24"/>
        </w:rPr>
        <w:t xml:space="preserve">XYZ-SPEC-004: Dependency Graph &amp; Propagation Protocol — full specification for FM 3.7</w:t>
      </w:r>
    </w:p>
    <w:p>
      <w:pPr>
        <w:pStyle w:val="ListParagraph"/>
        <w:numPr>
          <w:ilvl w:val="0"/>
          <w:numId w:val="5"/>
        </w:numPr>
      </w:pPr>
      <w:r>
        <w:rPr>
          <w:rFonts w:ascii="Cambria" w:cs="Cambria" w:eastAsia="Cambria" w:hAnsi="Cambria"/>
          <w:sz w:val="24"/>
          <w:szCs w:val="24"/>
        </w:rPr>
        <w:t xml:space="preserve">XYZ-SPEC-005: Deferred Execution Protocol — forward reference and dependency chaining (FM 3.5)</w:t>
      </w:r>
    </w:p>
    <w:p>
      <w:pPr>
        <w:pStyle w:val="ListParagraph"/>
        <w:numPr>
          <w:ilvl w:val="0"/>
          <w:numId w:val="5"/>
        </w:numPr>
      </w:pPr>
      <w:r>
        <w:rPr>
          <w:rFonts w:ascii="Cambria" w:cs="Cambria" w:eastAsia="Cambria" w:hAnsi="Cambria"/>
          <w:sz w:val="24"/>
          <w:szCs w:val="24"/>
        </w:rPr>
        <w:t xml:space="preserve">Parametric update model — automatic recomputation of downstream entities on input modification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open-questions" w:id="1"/>
      <w:r>
        <w:rPr>
          <w:rFonts w:ascii="Calibri(Headings)" w:cs="Calibri(Headings)" w:eastAsia="Calibri(Headings)" w:hAnsi="Calibri(Headings)"/>
          <w:b/>
          <w:bCs/>
          <w:color w:val="4F81BD"/>
          <w:sz w:val="32"/>
          <w:szCs w:val="32"/>
        </w:rPr>
        <w:t xml:space="preserve">10.  Open Questions</w:t>
      </w:r>
      <w:bookmarkEnd w:id="1"/>
    </w:p>
    <w:p>
      <w:pPr>
        <w:spacing w:after="120" w:before="80"/>
      </w:pPr>
      <w:r>
        <w:rPr>
          <w:rFonts w:ascii="Cambria" w:cs="Cambria" w:eastAsia="Cambria" w:hAnsi="Cambria"/>
          <w:sz w:val="24"/>
          <w:szCs w:val="24"/>
        </w:rPr>
        <w:t xml:space="preserve">The following questions are unresolved and require architectural decisions before the corresponding roadmap items can be specified.</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3600"/>
        <w:gridCol w:w="504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Ref</w:t>
            </w:r>
          </w:p>
        </w:tc>
        <w:tc>
          <w:tcPr>
            <w:tcW w:type="dxa" w:w="36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Question</w:t>
            </w:r>
          </w:p>
        </w:tc>
        <w:tc>
          <w:tcPr>
            <w:tcW w:type="dxa" w:w="50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Impact if Unresolved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Q1</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Should the dependency graph (FM 3.7) be implemented inside XyzPilot's kernel or in the agent layer?</w:t>
            </w:r>
          </w:p>
        </w:tc>
        <w:tc>
          <w:tcPr>
            <w:tcW w:type="dxa" w:w="504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Determines whether SPEC-004 is a kernel specification or an agent specification — fundamentally different implementation paths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Q2</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What is the correct user experience for downstream invalidation — silent flag, blocking warning, or automatic recompute?</w:t>
            </w:r>
          </w:p>
        </w:tc>
        <w:tc>
          <w:tcPr>
            <w:tcW w:type="dxa" w:w="504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Determines the propagation protocol design in SPEC-004 and the level of disruption to user workflow</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Q3</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Should the spatial language mapping table be static (defined in the spec) or dynamic (learned from user corrections)?</w:t>
            </w:r>
          </w:p>
        </w:tc>
        <w:tc>
          <w:tcPr>
            <w:tcW w:type="dxa" w:w="504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Static is simpler and auditable; dynamic improves over time but requires a learning pipeline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Q4</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What is the session boundary for the registry? Does it persist across XyzPilot sessions or reset on close?</w:t>
            </w:r>
          </w:p>
        </w:tc>
        <w:tc>
          <w:tcPr>
            <w:tcW w:type="dxa" w:w="504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Affects stale registry risk profile and the registry liveness definition in SPEC-002</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Q5</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Should "strict mode" (all interactions require confirmation) be a user preference or an administrator setting?</w:t>
            </w:r>
          </w:p>
        </w:tc>
        <w:tc>
          <w:tcPr>
            <w:tcW w:type="dxa" w:w="504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Affects the implementation of R8 in SPEC-002 and the user experience design</w:t>
            </w:r>
          </w:p>
        </w:tc>
      </w:tr>
    </w:tbl>
    <w:p>
      <w:pPr>
        <w:pBdr>
          <w:top w:val="none" w:color="FFFFFF" w:sz="0"/>
          <w:bottom w:val="single" w:color="CCCCCC" w:sz="4"/>
          <w:left w:val="none" w:color="FFFFFF" w:sz="0"/>
          <w:right w:val="none" w:color="FFFFFF" w:sz="0"/>
        </w:pBdr>
        <w:spacing w:after="240" w:before="240"/>
      </w:pPr>
      <w:r>
        <w:t xml:space="preserve"/>
      </w:r>
    </w:p>
    <w:p>
      <w:pPr>
        <w:pBdr>
          <w:left w:val="single" w:color="4F81BD" w:sz="12"/>
        </w:pBdr>
        <w:spacing w:after="160" w:before="160"/>
        <w:ind w:left="720"/>
      </w:pPr>
      <w:r>
        <w:rPr>
          <w:rFonts w:ascii="Cambria" w:cs="Cambria" w:eastAsia="Cambria" w:hAnsi="Cambria"/>
          <w:i/>
          <w:iCs/>
          <w:color w:val="2E4057"/>
          <w:sz w:val="24"/>
          <w:szCs w:val="24"/>
        </w:rPr>
        <w:t xml:space="preserve">The gap analysis confirms that XYZ-SPEC-002's failure mode classifications are broadly aligned with industry standards. The critical work is not reclassification — it is </w:t>
      </w:r>
      <w:r>
        <w:rPr>
          <w:rFonts w:ascii="Cambria" w:cs="Cambria" w:eastAsia="Cambria" w:hAnsi="Cambria"/>
          <w:b/>
          <w:bCs/>
          <w:i/>
          <w:iCs/>
          <w:color w:val="1B3A5C"/>
          <w:sz w:val="24"/>
          <w:szCs w:val="24"/>
        </w:rPr>
        <w:t xml:space="preserve">filling the implementation gaps</w:t>
      </w:r>
      <w:r>
        <w:rPr>
          <w:rFonts w:ascii="Cambria" w:cs="Cambria" w:eastAsia="Cambria" w:hAnsi="Cambria"/>
          <w:i/>
          <w:iCs/>
          <w:color w:val="2E4057"/>
          <w:sz w:val="24"/>
          <w:szCs w:val="24"/>
        </w:rPr>
        <w:t xml:space="preserve"> (spatial mapping table, registry liveness, similarity metric) and </w:t>
      </w:r>
      <w:r>
        <w:rPr>
          <w:rFonts w:ascii="Cambria" w:cs="Cambria" w:eastAsia="Cambria" w:hAnsi="Cambria"/>
          <w:b/>
          <w:bCs/>
          <w:i/>
          <w:iCs/>
          <w:color w:val="1B3A5C"/>
          <w:sz w:val="24"/>
          <w:szCs w:val="24"/>
        </w:rPr>
        <w:t xml:space="preserve">addressing FM 3.7</w:t>
      </w:r>
      <w:r>
        <w:rPr>
          <w:rFonts w:ascii="Cambria" w:cs="Cambria" w:eastAsia="Cambria" w:hAnsi="Cambria"/>
          <w:i/>
          <w:iCs/>
          <w:color w:val="2E4057"/>
          <w:sz w:val="24"/>
          <w:szCs w:val="24"/>
        </w:rPr>
        <w:t xml:space="preserve"> before it becomes a production problem.</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mbria" w:cs="Cambria" w:eastAsia="Cambria" w:hAnsi="Cambria"/>
        <w:color w:val="888888"/>
        <w:sz w:val="18"/>
        <w:szCs w:val="18"/>
      </w:rPr>
      <w:t xml:space="preserve">Confidential — XyzPilot Internal Documentation  |  August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right"/>
    </w:pPr>
    <w:r>
      <w:rPr>
        <w:rFonts w:ascii="Calibri(Headings)" w:cs="Calibri(Headings)" w:eastAsia="Calibri(Headings)" w:hAnsi="Calibri(Headings)"/>
        <w:color w:val="888888"/>
        <w:sz w:val="18"/>
        <w:szCs w:val="18"/>
      </w:rPr>
      <w:t xml:space="preserve">XyzPilot — Gap Analysis &amp; Roadmap  |  XYZ-SPEC-003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480"/>
      <w:jc w:val="left"/>
    </w:pPr>
    <w:rPr>
      <w:rFonts w:ascii="Calibri(Headings)" w:cs="Calibri(Headings)" w:eastAsia="Calibri(Headings)" w:hAnsi="Calibri(Headings)"/>
      <w:b/>
      <w:bCs/>
      <w:color w:val="1B3A5C"/>
      <w:sz w:val="44"/>
      <w:szCs w:val="44"/>
    </w:rPr>
  </w:style>
  <w:style w:type="paragraph" w:styleId="Heading1">
    <w:name w:val="Heading 1"/>
    <w:basedOn w:val="Normal"/>
    <w:next w:val="Normal"/>
    <w:qFormat/>
    <w:pPr>
      <w:spacing w:after="120" w:before="44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30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80" w:before="80"/>
      <w:ind w:left="720"/>
    </w:pPr>
    <w:rPr>
      <w:rFonts w:ascii="Consolas" w:cs="Consolas" w:eastAsia="Consolas" w:hAnsi="Consolas"/>
      <w:color w:val="1B3A5C"/>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2026-08-20T10:27:12.778Z</dcterms:created>
  <dcterms:modified xsi:type="dcterms:W3CDTF">2026-08-20T10:27:12.778Z</dcterms:modified>
</cp:coreProperties>
</file>

<file path=docProps/custom.xml><?xml version="1.0" encoding="utf-8"?>
<Properties xmlns="http://schemas.openxmlformats.org/officeDocument/2006/custom-properties" xmlns:vt="http://schemas.openxmlformats.org/officeDocument/2006/docPropsVTypes"/>
</file>