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rFonts w:ascii="Calibri(Headings)" w:cs="Calibri(Headings)" w:eastAsia="Calibri(Headings)" w:hAnsi="Calibri(Headings)"/>
          <w:b/>
          <w:bCs/>
          <w:color w:val="1B3A5C"/>
          <w:sz w:val="44"/>
          <w:szCs w:val="44"/>
        </w:rPr>
        <w:t xml:space="preserve">XyzPilot Disambiguation Protocol</w:t>
      </w:r>
    </w:p>
    <w:p>
      <w:pPr>
        <w:spacing w:after="60" w:before="0"/>
        <w:jc w:val="left"/>
      </w:pPr>
      <w:r>
        <w:rPr>
          <w:rFonts w:ascii="Calibri(Headings)" w:cs="Calibri(Headings)" w:eastAsia="Calibri(Headings)" w:hAnsi="Calibri(Headings)"/>
          <w:i/>
          <w:iCs/>
          <w:color w:val="4F81BD"/>
          <w:sz w:val="26"/>
          <w:szCs w:val="26"/>
        </w:rPr>
        <w:t xml:space="preserve">Technical Specification for Resolving Ambiguous Natural Language Instructions in the Translator Agent</w:t>
      </w:r>
    </w:p>
    <w:tbl>
      <w:tblPr>
        <w:tblW w:type="auto" w:w="100"/>
        <w:tblBorders>
          <w:top w:val="none" w:color="FFFFFF" w:sz="0"/>
          <w:left w:val="none" w:color="FFFFFF" w:sz="0"/>
          <w:bottom w:val="none" w:color="FFFFFF" w:sz="0"/>
          <w:right w:val="none" w:color="FFFFFF" w:sz="0"/>
          <w:insideH w:val="single" w:color="auto" w:sz="4"/>
          <w:insideV w:val="single" w:color="auto" w:sz="4"/>
        </w:tblBorders>
        <w:tblCellMar>
          <w:top w:type="dxa" w:w="80"/>
          <w:left w:type="dxa" w:w="0"/>
          <w:bottom w:type="dxa" w:w="80"/>
          <w:right w:type="dxa" w:w="0"/>
        </w:tblCellMar>
      </w:tblPr>
      <w:tblGrid>
        <w:gridCol w:w="2160"/>
        <w:gridCol w:w="7200"/>
      </w:tblGrid>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888888"/>
                <w:sz w:val="22"/>
                <w:szCs w:val="22"/>
              </w:rPr>
              <w:t xml:space="preserve">Document ID</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XYZ-SPEC-002</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888888"/>
                <w:sz w:val="22"/>
                <w:szCs w:val="22"/>
              </w:rPr>
              <w:t xml:space="preserve">Version</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1.0 — Draft</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888888"/>
                <w:sz w:val="22"/>
                <w:szCs w:val="22"/>
              </w:rPr>
              <w:t xml:space="preserve">Date</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August 2026</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888888"/>
                <w:sz w:val="22"/>
                <w:szCs w:val="22"/>
              </w:rPr>
              <w:t xml:space="preserve">Status</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For Review</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888888"/>
                <w:sz w:val="22"/>
                <w:szCs w:val="22"/>
              </w:rPr>
              <w:t xml:space="preserve">Related Document</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XYZ-SPEC-001: XyzPilot &amp; AI Agent Architecture</w:t>
            </w:r>
          </w:p>
        </w:tc>
      </w:tr>
    </w:tbl>
    <w:p>
      <w:pPr>
        <w:pBdr>
          <w:top w:val="none" w:color="FFFFFF" w:sz="0"/>
          <w:bottom w:val="single" w:color="CCCCCC" w:sz="4"/>
          <w:left w:val="none" w:color="FFFFFF" w:sz="0"/>
          <w:right w:val="none" w:color="FFFFFF" w:sz="0"/>
        </w:pBdr>
        <w:spacing w:after="240" w:before="160"/>
      </w:pPr>
      <w:r>
        <w:t xml:space="preserve"/>
      </w:r>
    </w:p>
    <w:p>
      <w:pPr>
        <w:pStyle w:val="Heading1"/>
      </w:pPr>
      <w:r>
        <w:rPr>
          <w:rFonts w:ascii="Calibri(Headings)" w:cs="Calibri(Headings)" w:eastAsia="Calibri(Headings)" w:hAnsi="Calibri(Headings)"/>
          <w:b/>
          <w:bCs/>
          <w:color w:val="4F81BD"/>
          <w:sz w:val="32"/>
          <w:szCs w:val="32"/>
        </w:rPr>
        <w:t xml:space="preserve">Table of Contents</w:t>
      </w:r>
    </w:p>
    <w:p>
      <w:pPr>
        <w:spacing w:after="40" w:before="40"/>
      </w:pPr>
      <w:hyperlink w:history="1" w:anchor="sec-purpose">
        <w:r>
          <w:rPr>
            <w:rStyle w:val="Hyperlink"/>
            <w:sz w:val="24"/>
            <w:szCs w:val="24"/>
          </w:rPr>
          <w:t xml:space="preserve">1.  Purpose &amp; Scope</w:t>
        </w:r>
      </w:hyperlink>
    </w:p>
    <w:p>
      <w:pPr>
        <w:spacing w:after="40" w:before="40"/>
      </w:pPr>
      <w:hyperlink w:history="1" w:anchor="sec-definitions">
        <w:r>
          <w:rPr>
            <w:rStyle w:val="Hyperlink"/>
            <w:sz w:val="24"/>
            <w:szCs w:val="24"/>
          </w:rPr>
          <w:t xml:space="preserve">2.  Definitions</w:t>
        </w:r>
      </w:hyperlink>
    </w:p>
    <w:p>
      <w:pPr>
        <w:spacing w:after="40" w:before="40"/>
      </w:pPr>
      <w:hyperlink w:history="1" w:anchor="sec-failure-modes">
        <w:r>
          <w:rPr>
            <w:rStyle w:val="Hyperlink"/>
            <w:sz w:val="24"/>
            <w:szCs w:val="24"/>
          </w:rPr>
          <w:t xml:space="preserve">3.  Disambiguation Failure Modes</w:t>
        </w:r>
      </w:hyperlink>
    </w:p>
    <w:p>
      <w:pPr>
        <w:spacing w:after="40" w:before="40"/>
      </w:pPr>
      <w:hyperlink w:history="1" w:anchor="sec-lessons">
        <w:r>
          <w:rPr>
            <w:rStyle w:val="Hyperlink"/>
            <w:sz w:val="24"/>
            <w:szCs w:val="24"/>
          </w:rPr>
          <w:t xml:space="preserve">4.  Lessons from AI-Assisted Tools</w:t>
        </w:r>
      </w:hyperlink>
    </w:p>
    <w:p>
      <w:pPr>
        <w:spacing w:after="40" w:before="40"/>
      </w:pPr>
      <w:hyperlink w:history="1" w:anchor="sec-protocol">
        <w:r>
          <w:rPr>
            <w:rStyle w:val="Hyperlink"/>
            <w:sz w:val="24"/>
            <w:szCs w:val="24"/>
          </w:rPr>
          <w:t xml:space="preserve">5.  The Disambiguation Protocol</w:t>
        </w:r>
      </w:hyperlink>
    </w:p>
    <w:p>
      <w:pPr>
        <w:spacing w:after="40" w:before="40"/>
      </w:pPr>
      <w:hyperlink w:history="1" w:anchor="sec-confidence">
        <w:r>
          <w:rPr>
            <w:rStyle w:val="Hyperlink"/>
            <w:sz w:val="24"/>
            <w:szCs w:val="24"/>
          </w:rPr>
          <w:t xml:space="preserve">6.  Confidence Classification System</w:t>
        </w:r>
      </w:hyperlink>
    </w:p>
    <w:p>
      <w:pPr>
        <w:spacing w:after="40" w:before="40"/>
      </w:pPr>
      <w:hyperlink w:history="1" w:anchor="sec-operator-rules">
        <w:r>
          <w:rPr>
            <w:rStyle w:val="Hyperlink"/>
            <w:sz w:val="24"/>
            <w:szCs w:val="24"/>
          </w:rPr>
          <w:t xml:space="preserve">7.  Operator-Specific Disambiguation Rules</w:t>
        </w:r>
      </w:hyperlink>
    </w:p>
    <w:p>
      <w:pPr>
        <w:spacing w:after="40" w:before="40"/>
      </w:pPr>
      <w:hyperlink w:history="1" w:anchor="sec-response-templates">
        <w:r>
          <w:rPr>
            <w:rStyle w:val="Hyperlink"/>
            <w:sz w:val="24"/>
            <w:szCs w:val="24"/>
          </w:rPr>
          <w:t xml:space="preserve">8.  Agent Response Templates</w:t>
        </w:r>
      </w:hyperlink>
    </w:p>
    <w:p>
      <w:pPr>
        <w:spacing w:after="40" w:before="40"/>
      </w:pPr>
      <w:hyperlink w:history="1" w:anchor="sec-logging">
        <w:r>
          <w:rPr>
            <w:rStyle w:val="Hyperlink"/>
            <w:sz w:val="24"/>
            <w:szCs w:val="24"/>
          </w:rPr>
          <w:t xml:space="preserve">9.  Logging &amp; Continuous Improvement</w:t>
        </w:r>
      </w:hyperlink>
    </w:p>
    <w:p>
      <w:pPr>
        <w:spacing w:after="40" w:before="40"/>
      </w:pPr>
      <w:hyperlink w:history="1" w:anchor="sec-implementation">
        <w:r>
          <w:rPr>
            <w:rStyle w:val="Hyperlink"/>
            <w:sz w:val="24"/>
            <w:szCs w:val="24"/>
          </w:rPr>
          <w:t xml:space="preserve">10. Implementation Requirements</w:t>
        </w:r>
      </w:hyperlink>
    </w:p>
    <w:p>
      <w:r>
        <w:br w:type="page"/>
      </w:r>
    </w:p>
    <w:p>
      <w:pPr>
        <w:pStyle w:val="Heading1"/>
      </w:pPr>
      <w:bookmarkStart w:name="sec-purpose" w:id="1"/>
      <w:r>
        <w:rPr>
          <w:rFonts w:ascii="Calibri(Headings)" w:cs="Calibri(Headings)" w:eastAsia="Calibri(Headings)" w:hAnsi="Calibri(Headings)"/>
          <w:b/>
          <w:bCs/>
          <w:color w:val="4F81BD"/>
          <w:sz w:val="32"/>
          <w:szCs w:val="32"/>
        </w:rPr>
        <w:t xml:space="preserve">1.  Purpose &amp; Scope</w:t>
      </w:r>
      <w:bookmarkEnd w:id="1"/>
    </w:p>
    <w:p>
      <w:pPr>
        <w:spacing w:after="120" w:before="120"/>
      </w:pPr>
      <w:r>
        <w:rPr>
          <w:rFonts w:ascii="Cambria" w:cs="Cambria" w:eastAsia="Cambria" w:hAnsi="Cambria"/>
          <w:sz w:val="24"/>
          <w:szCs w:val="24"/>
        </w:rPr>
        <w:t xml:space="preserve">This specification defines the </w:t>
      </w:r>
      <w:r>
        <w:rPr>
          <w:rFonts w:ascii="Cambria" w:cs="Cambria" w:eastAsia="Cambria" w:hAnsi="Cambria"/>
          <w:b/>
          <w:bCs/>
          <w:sz w:val="24"/>
          <w:szCs w:val="24"/>
        </w:rPr>
        <w:t xml:space="preserve">Disambiguation Protocol</w:t>
      </w:r>
      <w:r>
        <w:rPr>
          <w:rFonts w:ascii="Cambria" w:cs="Cambria" w:eastAsia="Cambria" w:hAnsi="Cambria"/>
          <w:sz w:val="24"/>
          <w:szCs w:val="24"/>
        </w:rPr>
        <w:t xml:space="preserve"> for XyzPilot's translator agent — the set of rules, decision procedures, and response behaviours the agent must follow when a user's natural language instruction is ambiguous, underspecified, or maps to multiple valid geometric outcomes.</w:t>
      </w:r>
    </w:p>
    <w:p>
      <w:pPr>
        <w:spacing w:after="80" w:before="80"/>
      </w:pPr>
      <w:r>
        <w:rPr>
          <w:rFonts w:ascii="Cambria" w:cs="Cambria" w:eastAsia="Cambria" w:hAnsi="Cambria"/>
          <w:sz w:val="24"/>
          <w:szCs w:val="24"/>
        </w:rPr>
        <w:t xml:space="preserve">The protocol applies to all agent interactions involving:</w:t>
      </w:r>
    </w:p>
    <w:p>
      <w:pPr>
        <w:pStyle w:val="ListParagraph"/>
        <w:numPr>
          <w:ilvl w:val="0"/>
          <w:numId w:val="2"/>
        </w:numPr>
      </w:pPr>
      <w:r>
        <w:rPr>
          <w:rFonts w:ascii="Cambria" w:cs="Cambria" w:eastAsia="Cambria" w:hAnsi="Cambria"/>
          <w:sz w:val="24"/>
          <w:szCs w:val="24"/>
        </w:rPr>
        <w:t xml:space="preserve">Selector resolution (XLarge, YSmall, etc.) when the selector is not explicitly stated</w:t>
      </w:r>
    </w:p>
    <w:p>
      <w:pPr>
        <w:pStyle w:val="ListParagraph"/>
        <w:numPr>
          <w:ilvl w:val="0"/>
          <w:numId w:val="2"/>
        </w:numPr>
      </w:pPr>
      <w:r>
        <w:rPr>
          <w:rFonts w:ascii="Cambria" w:cs="Cambria" w:eastAsia="Cambria" w:hAnsi="Cambria"/>
          <w:sz w:val="24"/>
          <w:szCs w:val="24"/>
        </w:rPr>
        <w:t xml:space="preserve">Operator matching when the user's phrasing maps to more than one catalog entry</w:t>
      </w:r>
    </w:p>
    <w:p>
      <w:pPr>
        <w:pStyle w:val="ListParagraph"/>
        <w:numPr>
          <w:ilvl w:val="0"/>
          <w:numId w:val="2"/>
        </w:numPr>
      </w:pPr>
      <w:r>
        <w:rPr>
          <w:rFonts w:ascii="Cambria" w:cs="Cambria" w:eastAsia="Cambria" w:hAnsi="Cambria"/>
          <w:sz w:val="24"/>
          <w:szCs w:val="24"/>
        </w:rPr>
        <w:t xml:space="preserve">Input resolution when referenced geometry is absent, stale, or ambiguously named</w:t>
      </w:r>
    </w:p>
    <w:p>
      <w:pPr>
        <w:pStyle w:val="ListParagraph"/>
        <w:numPr>
          <w:ilvl w:val="0"/>
          <w:numId w:val="2"/>
        </w:numPr>
      </w:pPr>
      <w:r>
        <w:rPr>
          <w:rFonts w:ascii="Cambria" w:cs="Cambria" w:eastAsia="Cambria" w:hAnsi="Cambria"/>
          <w:sz w:val="24"/>
          <w:szCs w:val="24"/>
        </w:rPr>
        <w:t xml:space="preserve">Multi-candidate function results where the function returns more than one valid geometric entity</w:t>
      </w:r>
    </w:p>
    <w:p>
      <w:pPr>
        <w:spacing w:after="120" w:before="120"/>
      </w:pPr>
      <w:r>
        <w:rPr>
          <w:rFonts w:ascii="Cambria" w:cs="Cambria" w:eastAsia="Cambria" w:hAnsi="Cambria"/>
          <w:sz w:val="24"/>
          <w:szCs w:val="24"/>
        </w:rPr>
        <w:t xml:space="preserve">This specification does </w:t>
      </w:r>
      <w:r>
        <w:rPr>
          <w:rFonts w:ascii="Cambria" w:cs="Cambria" w:eastAsia="Cambria" w:hAnsi="Cambria"/>
          <w:b/>
          <w:bCs/>
          <w:sz w:val="24"/>
          <w:szCs w:val="24"/>
          <w:u w:val="single"/>
        </w:rPr>
        <w:t xml:space="preserve">not</w:t>
      </w:r>
      <w:r>
        <w:rPr>
          <w:rFonts w:ascii="Cambria" w:cs="Cambria" w:eastAsia="Cambria" w:hAnsi="Cambria"/>
          <w:sz w:val="24"/>
          <w:szCs w:val="24"/>
        </w:rPr>
        <w:t xml:space="preserve"> cover geometry computation, registry management, or catalog structure — those are addressed in XYZ-SPEC-001.</w:t>
      </w:r>
    </w:p>
    <w:p>
      <w:pPr>
        <w:pBdr>
          <w:top w:val="none" w:color="FFFFFF" w:sz="0"/>
          <w:bottom w:val="single" w:color="CCCCCC" w:sz="4"/>
          <w:left w:val="none" w:color="FFFFFF" w:sz="0"/>
          <w:right w:val="none" w:color="FFFFFF" w:sz="0"/>
        </w:pBdr>
        <w:spacing w:after="160" w:before="160"/>
      </w:pPr>
      <w:r>
        <w:t xml:space="preserve"/>
      </w:r>
    </w:p>
    <w:p>
      <w:pPr>
        <w:pStyle w:val="Heading1"/>
      </w:pPr>
      <w:bookmarkStart w:name="sec-definitions" w:id="1"/>
      <w:r>
        <w:rPr>
          <w:rFonts w:ascii="Calibri(Headings)" w:cs="Calibri(Headings)" w:eastAsia="Calibri(Headings)" w:hAnsi="Calibri(Headings)"/>
          <w:b/>
          <w:bCs/>
          <w:color w:val="4F81BD"/>
          <w:sz w:val="32"/>
          <w:szCs w:val="32"/>
        </w:rPr>
        <w:t xml:space="preserve">2.  Definitions</w:t>
      </w:r>
      <w:bookmarkEnd w:id="1"/>
    </w:p>
    <w:tbl>
      <w:tblPr>
        <w:tblW w:type="auto" w:w="100"/>
        <w:tblBorders>
          <w:top w:val="none" w:color="FFFFFF" w:sz="0"/>
          <w:left w:val="none" w:color="FFFFFF" w:sz="0"/>
          <w:bottom w:val="none" w:color="FFFFFF" w:sz="0"/>
          <w:right w:val="none" w:color="FFFFFF" w:sz="0"/>
          <w:insideH w:val="single" w:color="auto" w:sz="4"/>
          <w:insideV w:val="single" w:color="auto" w:sz="4"/>
        </w:tblBorders>
        <w:tblCellMar>
          <w:top w:type="dxa" w:w="100"/>
          <w:left w:type="dxa" w:w="180"/>
          <w:bottom w:type="dxa" w:w="100"/>
          <w:right w:type="dxa" w:w="180"/>
        </w:tblCellMar>
      </w:tblPr>
      <w:tblGrid>
        <w:gridCol w:w="2520"/>
        <w:gridCol w:w="6840"/>
      </w:tblGrid>
      <w:tr>
        <w:trPr>
          <w:tblHeader/>
        </w:trPr>
        <w:tc>
          <w:tcPr>
            <w:tcW w:type="dxa" w:w="252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Term</w:t>
            </w:r>
          </w:p>
        </w:tc>
        <w:tc>
          <w:tcPr>
            <w:tcW w:type="dxa" w:w="684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Definition</w:t>
            </w:r>
          </w:p>
        </w:tc>
      </w:tr>
      <w:tr>
        <w:tc>
          <w:tcPr>
            <w:tcW w:type="dxa" w:w="2520"/>
            <w:tcBorders>
              <w:top w:val="none" w:color="FFFFFF" w:sz="0"/>
              <w:left w:val="none" w:color="FFFFFF" w:sz="0"/>
              <w:bottom w:val="none" w:color="FFFFFF" w:sz="0"/>
              <w:right w:val="none" w:color="FFFFFF" w:sz="0"/>
            </w:tcBorders>
          </w:tcPr>
          <w:p>
            <w:r>
              <w:rPr>
                <w:rFonts w:ascii="Cambria" w:cs="Cambria" w:eastAsia="Cambria" w:hAnsi="Cambria"/>
                <w:b/>
                <w:bCs/>
                <w:sz w:val="22"/>
                <w:szCs w:val="22"/>
              </w:rPr>
              <w:t xml:space="preserve">Operator</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A named command template in the XyzPilot catalog that maps a user-facing syntax to a specific geometry function.</w:t>
            </w:r>
          </w:p>
        </w:tc>
      </w:tr>
      <w:tr>
        <w:tc>
          <w:tcPr>
            <w:tcW w:type="dxa" w:w="2520"/>
            <w:tcBorders>
              <w:top w:val="none" w:color="FFFFFF" w:sz="0"/>
              <w:left w:val="none" w:color="FFFFFF" w:sz="0"/>
              <w:bottom w:val="none" w:color="FFFFFF" w:sz="0"/>
              <w:right w:val="none" w:color="FFFFFF" w:sz="0"/>
            </w:tcBorders>
          </w:tcPr>
          <w:p>
            <w:r>
              <w:rPr>
                <w:rFonts w:ascii="Cambria" w:cs="Cambria" w:eastAsia="Cambria" w:hAnsi="Cambria"/>
                <w:b/>
                <w:bCs/>
                <w:sz w:val="22"/>
                <w:szCs w:val="22"/>
              </w:rPr>
              <w:t xml:space="preserve">Selector</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A qualifier that disambiguates which of multiple valid geometric candidates to use (e.g., XLarge, YSmall, Nearest).</w:t>
            </w:r>
          </w:p>
        </w:tc>
      </w:tr>
      <w:tr>
        <w:tc>
          <w:tcPr>
            <w:tcW w:type="dxa" w:w="2520"/>
            <w:tcBorders>
              <w:top w:val="none" w:color="FFFFFF" w:sz="0"/>
              <w:left w:val="none" w:color="FFFFFF" w:sz="0"/>
              <w:bottom w:val="none" w:color="FFFFFF" w:sz="0"/>
              <w:right w:val="none" w:color="FFFFFF" w:sz="0"/>
            </w:tcBorders>
          </w:tcPr>
          <w:p>
            <w:r>
              <w:rPr>
                <w:rFonts w:ascii="Cambria" w:cs="Cambria" w:eastAsia="Cambria" w:hAnsi="Cambria"/>
                <w:b/>
                <w:bCs/>
                <w:sz w:val="22"/>
                <w:szCs w:val="22"/>
              </w:rPr>
              <w:t xml:space="preserve">Candidate</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One of two or more geometrically valid results returned by a XyzPilot function (e.g., two intersection points).</w:t>
            </w:r>
          </w:p>
        </w:tc>
      </w:tr>
      <w:tr>
        <w:tc>
          <w:tcPr>
            <w:tcW w:type="dxa" w:w="2520"/>
            <w:tcBorders>
              <w:top w:val="none" w:color="FFFFFF" w:sz="0"/>
              <w:left w:val="none" w:color="FFFFFF" w:sz="0"/>
              <w:bottom w:val="none" w:color="FFFFFF" w:sz="0"/>
              <w:right w:val="none" w:color="FFFFFF" w:sz="0"/>
            </w:tcBorders>
          </w:tcPr>
          <w:p>
            <w:r>
              <w:rPr>
                <w:rFonts w:ascii="Cambria" w:cs="Cambria" w:eastAsia="Cambria" w:hAnsi="Cambria"/>
                <w:b/>
                <w:bCs/>
                <w:sz w:val="22"/>
                <w:szCs w:val="22"/>
              </w:rPr>
              <w:t xml:space="preserve">Registry</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The live store of all geometry entities (points, lines, circles, etc.) currently defined in the XyzPilot session.</w:t>
            </w:r>
          </w:p>
        </w:tc>
      </w:tr>
      <w:tr>
        <w:tc>
          <w:tcPr>
            <w:tcW w:type="dxa" w:w="2520"/>
            <w:tcBorders>
              <w:top w:val="none" w:color="FFFFFF" w:sz="0"/>
              <w:left w:val="none" w:color="FFFFFF" w:sz="0"/>
              <w:bottom w:val="none" w:color="FFFFFF" w:sz="0"/>
              <w:right w:val="none" w:color="FFFFFF" w:sz="0"/>
            </w:tcBorders>
          </w:tcPr>
          <w:p>
            <w:r>
              <w:rPr>
                <w:rFonts w:ascii="Cambria" w:cs="Cambria" w:eastAsia="Cambria" w:hAnsi="Cambria"/>
                <w:b/>
                <w:bCs/>
                <w:sz w:val="22"/>
                <w:szCs w:val="22"/>
              </w:rPr>
              <w:t xml:space="preserve">Confidence Level</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The agent's assessed certainty that its interpretation of a user instruction is correct. Defined as High, Medium, Low, or None.</w:t>
            </w:r>
          </w:p>
        </w:tc>
      </w:tr>
      <w:tr>
        <w:tc>
          <w:tcPr>
            <w:tcW w:type="dxa" w:w="2520"/>
            <w:tcBorders>
              <w:top w:val="none" w:color="FFFFFF" w:sz="0"/>
              <w:left w:val="none" w:color="FFFFFF" w:sz="0"/>
              <w:bottom w:val="none" w:color="FFFFFF" w:sz="0"/>
              <w:right w:val="none" w:color="FFFFFF" w:sz="0"/>
            </w:tcBorders>
          </w:tcPr>
          <w:p>
            <w:r>
              <w:rPr>
                <w:rFonts w:ascii="Cambria" w:cs="Cambria" w:eastAsia="Cambria" w:hAnsi="Cambria"/>
                <w:b/>
                <w:bCs/>
                <w:sz w:val="22"/>
                <w:szCs w:val="22"/>
              </w:rPr>
              <w:t xml:space="preserve">Disambiguation</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The process of resolving an ambiguous instruction to a single, confirmed interpretation before execution.</w:t>
            </w:r>
          </w:p>
        </w:tc>
      </w:tr>
      <w:tr>
        <w:tc>
          <w:tcPr>
            <w:tcW w:type="dxa" w:w="2520"/>
            <w:tcBorders>
              <w:top w:val="none" w:color="FFFFFF" w:sz="0"/>
              <w:left w:val="none" w:color="FFFFFF" w:sz="0"/>
              <w:bottom w:val="none" w:color="FFFFFF" w:sz="0"/>
              <w:right w:val="none" w:color="FFFFFF" w:sz="0"/>
            </w:tcBorders>
          </w:tcPr>
          <w:p>
            <w:r>
              <w:rPr>
                <w:rFonts w:ascii="Cambria" w:cs="Cambria" w:eastAsia="Cambria" w:hAnsi="Cambria"/>
                <w:b/>
                <w:bCs/>
                <w:sz w:val="22"/>
                <w:szCs w:val="22"/>
              </w:rPr>
              <w:t xml:space="preserve">Geometric Context</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The current state of the registry, including entity positions, types, and relationships, used to infer user intent.</w:t>
            </w:r>
          </w:p>
        </w:tc>
      </w:tr>
      <w:tr>
        <w:tc>
          <w:tcPr>
            <w:tcW w:type="dxa" w:w="2520"/>
            <w:tcBorders>
              <w:top w:val="none" w:color="FFFFFF" w:sz="0"/>
              <w:left w:val="none" w:color="FFFFFF" w:sz="0"/>
              <w:bottom w:val="none" w:color="FFFFFF" w:sz="0"/>
              <w:right w:val="none" w:color="FFFFFF" w:sz="0"/>
            </w:tcBorders>
          </w:tcPr>
          <w:p>
            <w:r>
              <w:rPr>
                <w:rFonts w:ascii="Cambria" w:cs="Cambria" w:eastAsia="Cambria" w:hAnsi="Cambria"/>
                <w:b/>
                <w:bCs/>
                <w:sz w:val="22"/>
                <w:szCs w:val="22"/>
              </w:rPr>
              <w:t xml:space="preserve">Silent Failure</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An execution that produces geometrically valid but contextually incorrect output without alerting the user.</w:t>
            </w:r>
          </w:p>
        </w:tc>
      </w:tr>
      <w:tr>
        <w:tc>
          <w:tcPr>
            <w:tcW w:type="dxa" w:w="2520"/>
            <w:tcBorders>
              <w:top w:val="none" w:color="FFFFFF" w:sz="0"/>
              <w:left w:val="none" w:color="FFFFFF" w:sz="0"/>
              <w:bottom w:val="none" w:color="FFFFFF" w:sz="0"/>
              <w:right w:val="none" w:color="FFFFFF" w:sz="0"/>
            </w:tcBorders>
          </w:tcPr>
          <w:p>
            <w:r>
              <w:rPr>
                <w:rFonts w:ascii="Cambria" w:cs="Cambria" w:eastAsia="Cambria" w:hAnsi="Cambria"/>
                <w:b/>
                <w:bCs/>
                <w:sz w:val="22"/>
                <w:szCs w:val="22"/>
              </w:rPr>
              <w:t xml:space="preserve">Loud Failure</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An execution that is rejected before producing output, with a clear error message returned to the user.</w:t>
            </w:r>
          </w:p>
        </w:tc>
      </w:tr>
    </w:tbl>
    <w:p>
      <w:pPr>
        <w:pBdr>
          <w:top w:val="none" w:color="FFFFFF" w:sz="0"/>
          <w:bottom w:val="single" w:color="CCCCCC" w:sz="4"/>
          <w:left w:val="none" w:color="FFFFFF" w:sz="0"/>
          <w:right w:val="none" w:color="FFFFFF" w:sz="0"/>
        </w:pBdr>
        <w:spacing w:after="160" w:before="160"/>
      </w:pPr>
      <w:r>
        <w:t xml:space="preserve"/>
      </w:r>
    </w:p>
    <w:p>
      <w:pPr>
        <w:pStyle w:val="Heading1"/>
      </w:pPr>
      <w:bookmarkStart w:name="sec-failure-modes" w:id="1"/>
      <w:r>
        <w:rPr>
          <w:rFonts w:ascii="Calibri(Headings)" w:cs="Calibri(Headings)" w:eastAsia="Calibri(Headings)" w:hAnsi="Calibri(Headings)"/>
          <w:b/>
          <w:bCs/>
          <w:color w:val="4F81BD"/>
          <w:sz w:val="32"/>
          <w:szCs w:val="32"/>
        </w:rPr>
        <w:t xml:space="preserve">3.  Disambiguation Failure Modes</w:t>
      </w:r>
      <w:bookmarkEnd w:id="1"/>
    </w:p>
    <w:p>
      <w:pPr>
        <w:spacing w:after="120" w:before="80"/>
      </w:pPr>
      <w:r>
        <w:rPr>
          <w:rFonts w:ascii="Cambria" w:cs="Cambria" w:eastAsia="Cambria" w:hAnsi="Cambria"/>
          <w:sz w:val="24"/>
          <w:szCs w:val="24"/>
        </w:rPr>
        <w:t xml:space="preserve">The following failure modes represent the primary risk surfaces in the translator model. Each must be addressed by the protocol defined in Section 5.</w:t>
      </w:r>
    </w:p>
    <w:p>
      <w:pPr>
        <w:pStyle w:val="Heading2"/>
      </w:pPr>
      <w:r>
        <w:rPr>
          <w:rFonts w:ascii="Calibri(Headings)" w:cs="Calibri(Headings)" w:eastAsia="Calibri(Headings)" w:hAnsi="Calibri(Headings)"/>
          <w:b/>
          <w:bCs/>
          <w:color w:val="2E75B6"/>
          <w:sz w:val="26"/>
          <w:szCs w:val="26"/>
        </w:rPr>
        <w:t xml:space="preserve">3.1  Implicit Selector — Silent Wrong Geometry</w:t>
      </w:r>
    </w:p>
    <w:p>
      <w:pPr>
        <w:spacing w:after="80" w:before="80"/>
      </w:pPr>
      <w:r>
        <w:rPr>
          <w:rFonts w:ascii="Cambria" w:cs="Cambria" w:eastAsia="Cambria" w:hAnsi="Cambria"/>
          <w:sz w:val="24"/>
          <w:szCs w:val="24"/>
        </w:rPr>
        <w:t xml:space="preserve">Occurs when the user does not specify a selector and the agent defaults to one without confirmation.</w:t>
      </w:r>
    </w:p>
    <w:p>
      <w:pPr>
        <w:pStyle w:val="CodeBlock"/>
      </w:pPr>
      <w:r>
        <w:rPr>
          <w:rFonts w:ascii="Consolas" w:cs="Consolas" w:eastAsia="Consolas" w:hAnsi="Consolas"/>
          <w:sz w:val="20"/>
          <w:szCs w:val="20"/>
        </w:rPr>
        <w:t xml:space="preserve">Input:   "Create a point at the intersection of L1 and C1"</w:t>
      </w:r>
    </w:p>
    <w:p>
      <w:pPr>
        <w:pStyle w:val="CodeBlock"/>
      </w:pPr>
      <w:r>
        <w:rPr>
          <w:rFonts w:ascii="Consolas" w:cs="Consolas" w:eastAsia="Consolas" w:hAnsi="Consolas"/>
          <w:sz w:val="20"/>
          <w:szCs w:val="20"/>
        </w:rPr>
        <w:t xml:space="preserve">Risk:    Two candidates exist. Agent silently picks YLarge. User wanted YSmall.</w:t>
      </w:r>
    </w:p>
    <w:p>
      <w:pPr>
        <w:spacing w:after="80" w:before="80"/>
      </w:pPr>
      <w:r>
        <w:rPr>
          <w:rFonts w:ascii="Cambria" w:cs="Cambria" w:eastAsia="Cambria" w:hAnsi="Cambria"/>
          <w:b/>
          <w:bCs/>
          <w:sz w:val="24"/>
          <w:szCs w:val="24"/>
        </w:rPr>
        <w:t xml:space="preserve">Classification: </w:t>
      </w:r>
      <w:r>
        <w:rPr>
          <w:rFonts w:ascii="Cambria" w:cs="Cambria" w:eastAsia="Cambria" w:hAnsi="Cambria"/>
          <w:color w:val="C0392B"/>
          <w:sz w:val="24"/>
          <w:szCs w:val="24"/>
        </w:rPr>
        <w:t xml:space="preserve">Silent Failure. Highest severity — geometry is wrong but passes all validation checks.</w:t>
      </w:r>
    </w:p>
    <w:p>
      <w:pPr>
        <w:pStyle w:val="Heading2"/>
      </w:pPr>
      <w:r>
        <w:rPr>
          <w:rFonts w:ascii="Calibri(Headings)" w:cs="Calibri(Headings)" w:eastAsia="Calibri(Headings)" w:hAnsi="Calibri(Headings)"/>
          <w:b/>
          <w:bCs/>
          <w:color w:val="2E75B6"/>
          <w:sz w:val="26"/>
          <w:szCs w:val="26"/>
        </w:rPr>
        <w:t xml:space="preserve">3.2  Vague Spatial Reference</w:t>
      </w:r>
    </w:p>
    <w:p>
      <w:pPr>
        <w:spacing w:after="80" w:before="80"/>
      </w:pPr>
      <w:r>
        <w:rPr>
          <w:rFonts w:ascii="Cambria" w:cs="Cambria" w:eastAsia="Cambria" w:hAnsi="Cambria"/>
          <w:sz w:val="24"/>
          <w:szCs w:val="24"/>
        </w:rPr>
        <w:t xml:space="preserve">Occurs when the user uses spatial language that does not map to a defined selector.</w:t>
      </w:r>
    </w:p>
    <w:p>
      <w:pPr>
        <w:pStyle w:val="CodeBlock"/>
      </w:pPr>
      <w:r>
        <w:rPr>
          <w:rFonts w:ascii="Consolas" w:cs="Consolas" w:eastAsia="Consolas" w:hAnsi="Consolas"/>
          <w:sz w:val="20"/>
          <w:szCs w:val="20"/>
        </w:rPr>
        <w:t xml:space="preserve">Input:   "Create a point on C1 near the top"</w:t>
      </w:r>
    </w:p>
    <w:p>
      <w:pPr>
        <w:pStyle w:val="CodeBlock"/>
      </w:pPr>
      <w:r>
        <w:rPr>
          <w:rFonts w:ascii="Consolas" w:cs="Consolas" w:eastAsia="Consolas" w:hAnsi="Consolas"/>
          <w:sz w:val="20"/>
          <w:szCs w:val="20"/>
        </w:rPr>
        <w:t xml:space="preserve">Risk:    "Near the top" is not a catalog selector. Agent cannot resolve.</w:t>
      </w:r>
    </w:p>
    <w:p>
      <w:pPr>
        <w:spacing w:after="80" w:before="80"/>
      </w:pPr>
      <w:r>
        <w:rPr>
          <w:rFonts w:ascii="Cambria" w:cs="Cambria" w:eastAsia="Cambria" w:hAnsi="Cambria"/>
          <w:b/>
          <w:bCs/>
          <w:sz w:val="24"/>
          <w:szCs w:val="24"/>
        </w:rPr>
        <w:t xml:space="preserve">Classification: </w:t>
      </w:r>
      <w:r>
        <w:rPr>
          <w:rFonts w:ascii="Cambria" w:cs="Cambria" w:eastAsia="Cambria" w:hAnsi="Cambria"/>
          <w:color w:val="E67E22"/>
          <w:sz w:val="24"/>
          <w:szCs w:val="24"/>
        </w:rPr>
        <w:t xml:space="preserve">Low Confidence. Must ask for clarification before proceeding.</w:t>
      </w:r>
    </w:p>
    <w:p>
      <w:pPr>
        <w:pStyle w:val="Heading2"/>
      </w:pPr>
      <w:r>
        <w:rPr>
          <w:rFonts w:ascii="Calibri(Headings)" w:cs="Calibri(Headings)" w:eastAsia="Calibri(Headings)" w:hAnsi="Calibri(Headings)"/>
          <w:b/>
          <w:bCs/>
          <w:color w:val="2E75B6"/>
          <w:sz w:val="26"/>
          <w:szCs w:val="26"/>
        </w:rPr>
        <w:t xml:space="preserve">3.3  Operator Ambiguity</w:t>
      </w:r>
    </w:p>
    <w:p>
      <w:pPr>
        <w:spacing w:after="80" w:before="80"/>
      </w:pPr>
      <w:r>
        <w:rPr>
          <w:rFonts w:ascii="Cambria" w:cs="Cambria" w:eastAsia="Cambria" w:hAnsi="Cambria"/>
          <w:sz w:val="24"/>
          <w:szCs w:val="24"/>
        </w:rPr>
        <w:t xml:space="preserve">Occurs when the user's phrasing matches more than one catalog operator.</w:t>
      </w:r>
    </w:p>
    <w:p>
      <w:pPr>
        <w:pStyle w:val="CodeBlock"/>
      </w:pPr>
      <w:r>
        <w:rPr>
          <w:rFonts w:ascii="Consolas" w:cs="Consolas" w:eastAsia="Consolas" w:hAnsi="Consolas"/>
          <w:sz w:val="20"/>
          <w:szCs w:val="20"/>
        </w:rPr>
        <w:t xml:space="preserve">Input:   "Line through P1 and P2"</w:t>
      </w:r>
    </w:p>
    <w:p>
      <w:pPr>
        <w:pStyle w:val="CodeBlock"/>
      </w:pPr>
      <w:r>
        <w:rPr>
          <w:rFonts w:ascii="Consolas" w:cs="Consolas" w:eastAsia="Consolas" w:hAnsi="Consolas"/>
          <w:sz w:val="20"/>
          <w:szCs w:val="20"/>
        </w:rPr>
        <w:t xml:space="preserve">Risk:    Could match Line_ThroughTwoPoints or Line_FromPointWithDirection.</w:t>
      </w:r>
    </w:p>
    <w:p>
      <w:pPr>
        <w:spacing w:after="80" w:before="80"/>
      </w:pPr>
      <w:r>
        <w:rPr>
          <w:rFonts w:ascii="Cambria" w:cs="Cambria" w:eastAsia="Cambria" w:hAnsi="Cambria"/>
          <w:b/>
          <w:bCs/>
          <w:sz w:val="24"/>
          <w:szCs w:val="24"/>
        </w:rPr>
        <w:t xml:space="preserve">Classification: </w:t>
      </w:r>
      <w:r>
        <w:rPr>
          <w:rFonts w:ascii="Cambria" w:cs="Cambria" w:eastAsia="Cambria" w:hAnsi="Cambria"/>
          <w:color w:val="E67E22"/>
          <w:sz w:val="24"/>
          <w:szCs w:val="24"/>
        </w:rPr>
        <w:t xml:space="preserve">Medium Confidence. Show interpretation and confirm before executing.</w:t>
      </w:r>
    </w:p>
    <w:p>
      <w:pPr>
        <w:pStyle w:val="Heading2"/>
      </w:pPr>
      <w:r>
        <w:rPr>
          <w:rFonts w:ascii="Calibri(Headings)" w:cs="Calibri(Headings)" w:eastAsia="Calibri(Headings)" w:hAnsi="Calibri(Headings)"/>
          <w:b/>
          <w:bCs/>
          <w:color w:val="2E75B6"/>
          <w:sz w:val="26"/>
          <w:szCs w:val="26"/>
        </w:rPr>
        <w:t xml:space="preserve">3.4  Missing or Stale Registry Reference</w:t>
      </w:r>
    </w:p>
    <w:p>
      <w:pPr>
        <w:spacing w:after="80" w:before="80"/>
      </w:pPr>
      <w:r>
        <w:rPr>
          <w:rFonts w:ascii="Cambria" w:cs="Cambria" w:eastAsia="Cambria" w:hAnsi="Cambria"/>
          <w:sz w:val="24"/>
          <w:szCs w:val="24"/>
        </w:rPr>
        <w:t xml:space="preserve">Occurs when the user references geometry that does not exist in the current registry, or that has been modified outside the agent's awareness.</w:t>
      </w:r>
    </w:p>
    <w:p>
      <w:pPr>
        <w:pStyle w:val="CodeBlock"/>
      </w:pPr>
      <w:r>
        <w:rPr>
          <w:rFonts w:ascii="Consolas" w:cs="Consolas" w:eastAsia="Consolas" w:hAnsi="Consolas"/>
          <w:sz w:val="20"/>
          <w:szCs w:val="20"/>
        </w:rPr>
        <w:t xml:space="preserve">Input:   "Intersect L5 and C1"</w:t>
      </w:r>
    </w:p>
    <w:p>
      <w:pPr>
        <w:pStyle w:val="CodeBlock"/>
      </w:pPr>
      <w:r>
        <w:rPr>
          <w:rFonts w:ascii="Consolas" w:cs="Consolas" w:eastAsia="Consolas" w:hAnsi="Consolas"/>
          <w:sz w:val="20"/>
          <w:szCs w:val="20"/>
        </w:rPr>
        <w:t xml:space="preserve">Risk:    L5 does not exist. If registry is stale, validation may pass incorrectly.</w:t>
      </w:r>
    </w:p>
    <w:p>
      <w:pPr>
        <w:spacing w:after="80" w:before="80"/>
      </w:pPr>
      <w:r>
        <w:rPr>
          <w:rFonts w:ascii="Cambria" w:cs="Cambria" w:eastAsia="Cambria" w:hAnsi="Cambria"/>
          <w:b/>
          <w:bCs/>
          <w:sz w:val="24"/>
          <w:szCs w:val="24"/>
        </w:rPr>
        <w:t xml:space="preserve">Classification: </w:t>
      </w:r>
      <w:r>
        <w:rPr>
          <w:rFonts w:ascii="Cambria" w:cs="Cambria" w:eastAsia="Cambria" w:hAnsi="Cambria"/>
          <w:color w:val="C0392B"/>
          <w:sz w:val="24"/>
          <w:szCs w:val="24"/>
        </w:rPr>
        <w:t xml:space="preserve">Loud Failure (if registry is live). Silent Failure risk (if registry is stale).</w:t>
      </w:r>
    </w:p>
    <w:p>
      <w:pPr>
        <w:pStyle w:val="Heading2"/>
      </w:pPr>
      <w:r>
        <w:rPr>
          <w:rFonts w:ascii="Calibri(Headings)" w:cs="Calibri(Headings)" w:eastAsia="Calibri(Headings)" w:hAnsi="Calibri(Headings)"/>
          <w:b/>
          <w:bCs/>
          <w:color w:val="2E75B6"/>
          <w:sz w:val="26"/>
          <w:szCs w:val="26"/>
        </w:rPr>
        <w:t xml:space="preserve">3.5  Forward Reference</w:t>
      </w:r>
    </w:p>
    <w:p>
      <w:pPr>
        <w:spacing w:after="80" w:before="80"/>
      </w:pPr>
      <w:r>
        <w:rPr>
          <w:rFonts w:ascii="Cambria" w:cs="Cambria" w:eastAsia="Cambria" w:hAnsi="Cambria"/>
          <w:sz w:val="24"/>
          <w:szCs w:val="24"/>
        </w:rPr>
        <w:t xml:space="preserve">Occurs when the user references geometry that does not yet exist but is implied to be created as part of the same instruction.</w:t>
      </w:r>
    </w:p>
    <w:p>
      <w:pPr>
        <w:pStyle w:val="CodeBlock"/>
      </w:pPr>
      <w:r>
        <w:rPr>
          <w:rFonts w:ascii="Consolas" w:cs="Consolas" w:eastAsia="Consolas" w:hAnsi="Consolas"/>
          <w:sz w:val="20"/>
          <w:szCs w:val="20"/>
        </w:rPr>
        <w:t xml:space="preserve">Input:   "Intersect L3 and the circle I'm about to create"</w:t>
      </w:r>
    </w:p>
    <w:p>
      <w:pPr>
        <w:pStyle w:val="CodeBlock"/>
      </w:pPr>
      <w:r>
        <w:rPr>
          <w:rFonts w:ascii="Consolas" w:cs="Consolas" w:eastAsia="Consolas" w:hAnsi="Consolas"/>
          <w:sz w:val="20"/>
          <w:szCs w:val="20"/>
        </w:rPr>
        <w:t xml:space="preserve">Risk:    No deferred execution mechanism exists. Validation rejects correctly but unhelpfully.</w:t>
      </w:r>
    </w:p>
    <w:p>
      <w:pPr>
        <w:spacing w:after="80" w:before="80"/>
      </w:pPr>
      <w:r>
        <w:rPr>
          <w:rFonts w:ascii="Cambria" w:cs="Cambria" w:eastAsia="Cambria" w:hAnsi="Cambria"/>
          <w:b/>
          <w:bCs/>
          <w:sz w:val="24"/>
          <w:szCs w:val="24"/>
        </w:rPr>
        <w:t xml:space="preserve">Classification: </w:t>
      </w:r>
      <w:r>
        <w:rPr>
          <w:rFonts w:ascii="Cambria" w:cs="Cambria" w:eastAsia="Cambria" w:hAnsi="Cambria"/>
          <w:color w:val="888888"/>
          <w:sz w:val="24"/>
          <w:szCs w:val="24"/>
        </w:rPr>
        <w:t xml:space="preserve">None — out of scope for current protocol. Return informative error with guidance.</w:t>
      </w:r>
    </w:p>
    <w:p>
      <w:pPr>
        <w:pStyle w:val="Heading2"/>
      </w:pPr>
      <w:r>
        <w:rPr>
          <w:rFonts w:ascii="Calibri(Headings)" w:cs="Calibri(Headings)" w:eastAsia="Calibri(Headings)" w:hAnsi="Calibri(Headings)"/>
          <w:b/>
          <w:bCs/>
          <w:color w:val="2E75B6"/>
          <w:sz w:val="26"/>
          <w:szCs w:val="26"/>
        </w:rPr>
        <w:t xml:space="preserve">3.6  Catalog Gap</w:t>
      </w:r>
    </w:p>
    <w:p>
      <w:pPr>
        <w:spacing w:after="80" w:before="80"/>
      </w:pPr>
      <w:r>
        <w:rPr>
          <w:rFonts w:ascii="Cambria" w:cs="Cambria" w:eastAsia="Cambria" w:hAnsi="Cambria"/>
          <w:sz w:val="24"/>
          <w:szCs w:val="24"/>
        </w:rPr>
        <w:t xml:space="preserve">Occurs when the user's command has no matching operator in the catalog.</w:t>
      </w:r>
    </w:p>
    <w:p>
      <w:pPr>
        <w:pStyle w:val="CodeBlock"/>
      </w:pPr>
      <w:r>
        <w:rPr>
          <w:rFonts w:ascii="Consolas" w:cs="Consolas" w:eastAsia="Consolas" w:hAnsi="Consolas"/>
          <w:sz w:val="20"/>
          <w:szCs w:val="20"/>
        </w:rPr>
        <w:t xml:space="preserve">Input:   "Fillet the corner between L1 and L2 with radius 5"</w:t>
      </w:r>
    </w:p>
    <w:p>
      <w:pPr>
        <w:pStyle w:val="CodeBlock"/>
      </w:pPr>
      <w:r>
        <w:rPr>
          <w:rFonts w:ascii="Consolas" w:cs="Consolas" w:eastAsia="Consolas" w:hAnsi="Consolas"/>
          <w:sz w:val="20"/>
          <w:szCs w:val="20"/>
        </w:rPr>
        <w:t xml:space="preserve">Risk:    No fillet operator exists. Agent must not improvise geometry.</w:t>
      </w:r>
    </w:p>
    <w:p>
      <w:pPr>
        <w:spacing w:after="80" w:before="80"/>
      </w:pPr>
      <w:r>
        <w:rPr>
          <w:rFonts w:ascii="Cambria" w:cs="Cambria" w:eastAsia="Cambria" w:hAnsi="Cambria"/>
          <w:b/>
          <w:bCs/>
          <w:sz w:val="24"/>
          <w:szCs w:val="24"/>
        </w:rPr>
        <w:t xml:space="preserve">Classification: </w:t>
      </w:r>
      <w:r>
        <w:rPr>
          <w:rFonts w:ascii="Cambria" w:cs="Cambria" w:eastAsia="Cambria" w:hAnsi="Cambria"/>
          <w:color w:val="888888"/>
          <w:sz w:val="24"/>
          <w:szCs w:val="24"/>
        </w:rPr>
        <w:t xml:space="preserve">None — return "not supported" with nearest available alternatives.</w:t>
      </w:r>
    </w:p>
    <w:p>
      <w:pPr>
        <w:pBdr>
          <w:top w:val="none" w:color="FFFFFF" w:sz="0"/>
          <w:bottom w:val="single" w:color="CCCCCC" w:sz="4"/>
          <w:left w:val="none" w:color="FFFFFF" w:sz="0"/>
          <w:right w:val="none" w:color="FFFFFF" w:sz="0"/>
        </w:pBdr>
        <w:spacing w:after="160" w:before="160"/>
      </w:pPr>
      <w:r>
        <w:t xml:space="preserve"/>
      </w:r>
    </w:p>
    <w:p>
      <w:pPr>
        <w:pStyle w:val="Heading1"/>
      </w:pPr>
      <w:bookmarkStart w:name="sec-lessons" w:id="1"/>
      <w:r>
        <w:rPr>
          <w:rFonts w:ascii="Calibri(Headings)" w:cs="Calibri(Headings)" w:eastAsia="Calibri(Headings)" w:hAnsi="Calibri(Headings)"/>
          <w:b/>
          <w:bCs/>
          <w:color w:val="4F81BD"/>
          <w:sz w:val="32"/>
          <w:szCs w:val="32"/>
        </w:rPr>
        <w:t xml:space="preserve">4.  Lessons from AI-Assisted Tools</w:t>
      </w:r>
      <w:bookmarkEnd w:id="1"/>
    </w:p>
    <w:p>
      <w:pPr>
        <w:spacing w:after="120" w:before="80"/>
      </w:pPr>
      <w:r>
        <w:rPr>
          <w:rFonts w:ascii="Cambria" w:cs="Cambria" w:eastAsia="Cambria" w:hAnsi="Cambria"/>
          <w:sz w:val="24"/>
          <w:szCs w:val="24"/>
        </w:rPr>
        <w:t xml:space="preserve">The following principles are drawn from how GitHub Copilot, Copilot Workspace, and LLM-powered code agents handle underspecified intent. Each is adapted for XyzPilot's geometric context.</w:t>
      </w:r>
    </w:p>
    <w:tbl>
      <w:tblPr>
        <w:tblW w:type="auto" w:w="100"/>
        <w:tblBorders>
          <w:top w:val="none" w:color="FFFFFF" w:sz="0"/>
          <w:left w:val="none" w:color="FFFFFF" w:sz="0"/>
          <w:bottom w:val="none" w:color="FFFFFF" w:sz="0"/>
          <w:right w:val="none" w:color="FFFFFF" w:sz="0"/>
          <w:insideH w:val="single" w:color="auto" w:sz="4"/>
          <w:insideV w:val="single" w:color="auto" w:sz="4"/>
        </w:tblBorders>
        <w:tblCellMar>
          <w:top w:type="dxa" w:w="100"/>
          <w:left w:type="dxa" w:w="180"/>
          <w:bottom w:type="dxa" w:w="100"/>
          <w:right w:type="dxa" w:w="180"/>
        </w:tblCellMar>
      </w:tblPr>
      <w:tblGrid>
        <w:gridCol w:w="2160"/>
        <w:gridCol w:w="3240"/>
        <w:gridCol w:w="3960"/>
      </w:tblGrid>
      <w:tr>
        <w:trPr>
          <w:tblHeader/>
        </w:trPr>
        <w:tc>
          <w:tcPr>
            <w:tcW w:type="dxa" w:w="216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Source</w:t>
            </w:r>
          </w:p>
        </w:tc>
        <w:tc>
          <w:tcPr>
            <w:tcW w:type="dxa" w:w="324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Principle</w:t>
            </w:r>
          </w:p>
        </w:tc>
        <w:tc>
          <w:tcPr>
            <w:tcW w:type="dxa" w:w="396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XyzPilot Adaptation</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i/>
                <w:iCs/>
                <w:sz w:val="22"/>
                <w:szCs w:val="22"/>
              </w:rPr>
              <w:t xml:space="preserve">GitHub Copilot</w:t>
            </w:r>
          </w:p>
        </w:tc>
        <w:tc>
          <w:tcPr>
            <w:tcW w:type="dxa" w:w="32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Use surrounding context to resolve ambiguity</w:t>
            </w:r>
          </w:p>
        </w:tc>
        <w:tc>
          <w:tcPr>
            <w:tcW w:type="dxa" w:w="396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Query the registry for geometric context before resolving selectors</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i/>
                <w:iCs/>
                <w:sz w:val="22"/>
                <w:szCs w:val="22"/>
              </w:rPr>
              <w:t xml:space="preserve">GitHub Copilot</w:t>
            </w:r>
          </w:p>
        </w:tc>
        <w:tc>
          <w:tcPr>
            <w:tcW w:type="dxa" w:w="32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Surface multiple ranked candidates</w:t>
            </w:r>
          </w:p>
        </w:tc>
        <w:tc>
          <w:tcPr>
            <w:tcW w:type="dxa" w:w="396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Present both intersection candidates with coordinates; let user choose</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i/>
                <w:iCs/>
                <w:sz w:val="22"/>
                <w:szCs w:val="22"/>
              </w:rPr>
              <w:t xml:space="preserve">Copilot Workspace</w:t>
            </w:r>
          </w:p>
        </w:tc>
        <w:tc>
          <w:tcPr>
            <w:tcW w:type="dxa" w:w="32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Show a plan before executing</w:t>
            </w:r>
          </w:p>
        </w:tc>
        <w:tc>
          <w:tcPr>
            <w:tcW w:type="dxa" w:w="396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Display full interpretation (operator + inputs + selector) and require confirmation</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i/>
                <w:iCs/>
                <w:sz w:val="22"/>
                <w:szCs w:val="22"/>
              </w:rPr>
              <w:t xml:space="preserve">General LLMs</w:t>
            </w:r>
          </w:p>
        </w:tc>
        <w:tc>
          <w:tcPr>
            <w:tcW w:type="dxa" w:w="32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Label assumptions explicitly</w:t>
            </w:r>
          </w:p>
        </w:tc>
        <w:tc>
          <w:tcPr>
            <w:tcW w:type="dxa" w:w="396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State "I am assuming YLarge — confirm or specify otherwise" before acting</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i/>
                <w:iCs/>
                <w:sz w:val="22"/>
                <w:szCs w:val="22"/>
              </w:rPr>
              <w:t xml:space="preserve">Cursor / Codeium</w:t>
            </w:r>
          </w:p>
        </w:tc>
        <w:tc>
          <w:tcPr>
            <w:tcW w:type="dxa" w:w="32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Highlight what was inferred in a diff view</w:t>
            </w:r>
          </w:p>
        </w:tc>
        <w:tc>
          <w:tcPr>
            <w:tcW w:type="dxa" w:w="396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Show the decoded command template alongside the user's original input</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i/>
                <w:iCs/>
                <w:sz w:val="22"/>
                <w:szCs w:val="22"/>
              </w:rPr>
              <w:t xml:space="preserve">General LLMs</w:t>
            </w:r>
          </w:p>
        </w:tc>
        <w:tc>
          <w:tcPr>
            <w:tcW w:type="dxa" w:w="32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Graceful degradation under uncertainty</w:t>
            </w:r>
          </w:p>
        </w:tc>
        <w:tc>
          <w:tcPr>
            <w:tcW w:type="dxa" w:w="396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Return partial interpretation with a clarifying question rather than a wrong answer</w:t>
            </w:r>
          </w:p>
        </w:tc>
      </w:tr>
    </w:tbl>
    <w:p>
      <w:pPr>
        <w:pBdr>
          <w:left w:val="single" w:color="4F81BD" w:sz="12"/>
        </w:pBdr>
        <w:spacing w:after="120" w:before="200"/>
        <w:ind w:left="720"/>
      </w:pPr>
      <w:r>
        <w:rPr>
          <w:rFonts w:ascii="Cambria" w:cs="Cambria" w:eastAsia="Cambria" w:hAnsi="Cambria"/>
          <w:i/>
          <w:iCs/>
          <w:color w:val="2E4057"/>
          <w:sz w:val="24"/>
          <w:szCs w:val="24"/>
        </w:rPr>
        <w:t xml:space="preserve">The key asymmetry: Copilot operates in a recoverable domain — wrong code can be deleted. XyzPilot operates in a geometry registry where errors propagate through dependent operations. The disambiguation protocol must therefore be more conservative than Copilot's: biased toward asking rather than guessing.</w:t>
      </w:r>
    </w:p>
    <w:p>
      <w:pPr>
        <w:pBdr>
          <w:top w:val="none" w:color="FFFFFF" w:sz="0"/>
          <w:bottom w:val="single" w:color="CCCCCC" w:sz="4"/>
          <w:left w:val="none" w:color="FFFFFF" w:sz="0"/>
          <w:right w:val="none" w:color="FFFFFF" w:sz="0"/>
        </w:pBdr>
        <w:spacing w:after="160" w:before="160"/>
      </w:pPr>
      <w:r>
        <w:t xml:space="preserve"/>
      </w:r>
    </w:p>
    <w:p>
      <w:pPr>
        <w:pStyle w:val="Heading1"/>
      </w:pPr>
      <w:bookmarkStart w:name="sec-protocol" w:id="1"/>
      <w:r>
        <w:rPr>
          <w:rFonts w:ascii="Calibri(Headings)" w:cs="Calibri(Headings)" w:eastAsia="Calibri(Headings)" w:hAnsi="Calibri(Headings)"/>
          <w:b/>
          <w:bCs/>
          <w:color w:val="4F81BD"/>
          <w:sz w:val="32"/>
          <w:szCs w:val="32"/>
        </w:rPr>
        <w:t xml:space="preserve">5.  The Disambiguation Protocol</w:t>
      </w:r>
      <w:bookmarkEnd w:id="1"/>
    </w:p>
    <w:p>
      <w:pPr>
        <w:spacing w:after="120" w:before="80"/>
      </w:pPr>
      <w:r>
        <w:rPr>
          <w:rFonts w:ascii="Cambria" w:cs="Cambria" w:eastAsia="Cambria" w:hAnsi="Cambria"/>
          <w:sz w:val="24"/>
          <w:szCs w:val="24"/>
        </w:rPr>
        <w:t xml:space="preserve">The following six-step protocol governs every agent interaction from input receipt to execution. Steps are sequential and non-skippable.</w:t>
      </w:r>
    </w:p>
    <w:p>
      <w:pPr>
        <w:pStyle w:val="Heading2"/>
      </w:pPr>
      <w:r>
        <w:rPr>
          <w:rFonts w:ascii="Calibri(Headings)" w:cs="Calibri(Headings)" w:eastAsia="Calibri(Headings)" w:hAnsi="Calibri(Headings)"/>
          <w:b/>
          <w:bCs/>
          <w:color w:val="2E75B6"/>
          <w:sz w:val="26"/>
          <w:szCs w:val="26"/>
        </w:rPr>
        <w:t xml:space="preserve">Step 1 — Parse Intent &amp; Identify Operator Candidates</w:t>
      </w:r>
    </w:p>
    <w:p>
      <w:pPr>
        <w:spacing w:after="80" w:before="80"/>
      </w:pPr>
      <w:r>
        <w:rPr>
          <w:rFonts w:ascii="Cambria" w:cs="Cambria" w:eastAsia="Cambria" w:hAnsi="Cambria"/>
          <w:sz w:val="24"/>
          <w:szCs w:val="24"/>
        </w:rPr>
        <w:t xml:space="preserve">The agent parses the user's input and identifies all catalog operators whose syntax pattern matches the instruction. If zero operators match, proceed to Step 6 (Catalog Gap). If one matches, proceed to Step 2. If more than one matches, assign Medium Confidence and proceed to Step 4.</w:t>
      </w:r>
    </w:p>
    <w:p>
      <w:pPr>
        <w:pStyle w:val="CodeBlock"/>
      </w:pPr>
      <w:r>
        <w:rPr>
          <w:rFonts w:ascii="Consolas" w:cs="Consolas" w:eastAsia="Consolas" w:hAnsi="Consolas"/>
          <w:sz w:val="20"/>
          <w:szCs w:val="20"/>
        </w:rPr>
        <w:t xml:space="preserve">Input → Tokenise → Match against catalog syntax patterns → Candidate operator list</w:t>
      </w:r>
    </w:p>
    <w:p>
      <w:pPr>
        <w:pStyle w:val="Heading2"/>
      </w:pPr>
      <w:r>
        <w:rPr>
          <w:rFonts w:ascii="Calibri(Headings)" w:cs="Calibri(Headings)" w:eastAsia="Calibri(Headings)" w:hAnsi="Calibri(Headings)"/>
          <w:b/>
          <w:bCs/>
          <w:color w:val="2E75B6"/>
          <w:sz w:val="26"/>
          <w:szCs w:val="26"/>
        </w:rPr>
        <w:t xml:space="preserve">Step 2 — Query Registry &amp; Validate Inputs</w:t>
      </w:r>
    </w:p>
    <w:p>
      <w:pPr>
        <w:spacing w:after="80" w:before="80"/>
      </w:pPr>
      <w:r>
        <w:rPr>
          <w:rFonts w:ascii="Cambria" w:cs="Cambria" w:eastAsia="Cambria" w:hAnsi="Cambria"/>
          <w:sz w:val="24"/>
          <w:szCs w:val="24"/>
        </w:rPr>
        <w:t xml:space="preserve">Before any selector resolution, the agent queries the live registry to confirm all referenced geometry exists and is of the correct type. If any reference is missing, return a Loud Failure with the specific missing entity named.</w:t>
      </w:r>
    </w:p>
    <w:p>
      <w:pPr>
        <w:pStyle w:val="ListParagraph"/>
        <w:numPr>
          <w:ilvl w:val="0"/>
          <w:numId w:val="2"/>
        </w:numPr>
      </w:pPr>
      <w:r>
        <w:rPr>
          <w:rFonts w:ascii="Cambria" w:cs="Cambria" w:eastAsia="Cambria" w:hAnsi="Cambria"/>
          <w:sz w:val="24"/>
          <w:szCs w:val="24"/>
        </w:rPr>
        <w:t xml:space="preserve">Does L2 exist in the registry? Is it a line?</w:t>
      </w:r>
    </w:p>
    <w:p>
      <w:pPr>
        <w:pStyle w:val="ListParagraph"/>
        <w:numPr>
          <w:ilvl w:val="0"/>
          <w:numId w:val="2"/>
        </w:numPr>
      </w:pPr>
      <w:r>
        <w:rPr>
          <w:rFonts w:ascii="Cambria" w:cs="Cambria" w:eastAsia="Cambria" w:hAnsi="Cambria"/>
          <w:sz w:val="24"/>
          <w:szCs w:val="24"/>
        </w:rPr>
        <w:t xml:space="preserve">Does C1 exist in the registry? Is it a circle?</w:t>
      </w:r>
    </w:p>
    <w:p>
      <w:pPr>
        <w:pStyle w:val="ListParagraph"/>
        <w:numPr>
          <w:ilvl w:val="0"/>
          <w:numId w:val="2"/>
        </w:numPr>
      </w:pPr>
      <w:r>
        <w:rPr>
          <w:rFonts w:ascii="Cambria" w:cs="Cambria" w:eastAsia="Cambria" w:hAnsi="Cambria"/>
          <w:sz w:val="24"/>
          <w:szCs w:val="24"/>
        </w:rPr>
        <w:t xml:space="preserve">Are all required inputs for the matched operator supplied?</w:t>
      </w:r>
    </w:p>
    <w:p>
      <w:pPr>
        <w:pStyle w:val="Heading2"/>
      </w:pPr>
      <w:r>
        <w:rPr>
          <w:rFonts w:ascii="Calibri(Headings)" w:cs="Calibri(Headings)" w:eastAsia="Calibri(Headings)" w:hAnsi="Calibri(Headings)"/>
          <w:b/>
          <w:bCs/>
          <w:color w:val="2E75B6"/>
          <w:sz w:val="26"/>
          <w:szCs w:val="26"/>
        </w:rPr>
        <w:t xml:space="preserve">Step 3 — Resolve Selectors Using Geometric Context</w:t>
      </w:r>
    </w:p>
    <w:p>
      <w:pPr>
        <w:spacing w:after="80" w:before="80"/>
      </w:pPr>
      <w:r>
        <w:rPr>
          <w:rFonts w:ascii="Cambria" w:cs="Cambria" w:eastAsia="Cambria" w:hAnsi="Cambria"/>
          <w:sz w:val="24"/>
          <w:szCs w:val="24"/>
        </w:rPr>
        <w:t xml:space="preserve">If the operator requires a selector, the agent checks whether one was explicitly provided. If not, the agent queries the registry for geometric context and attempts to infer the selector. The result determines the Confidence Level assigned in Step 4.</w:t>
      </w:r>
    </w:p>
    <w:p>
      <w:pPr>
        <w:pStyle w:val="CodeBlock"/>
      </w:pPr>
      <w:r>
        <w:rPr>
          <w:rFonts w:ascii="Consolas" w:cs="Consolas" w:eastAsia="Consolas" w:hAnsi="Consolas"/>
          <w:sz w:val="20"/>
          <w:szCs w:val="20"/>
        </w:rPr>
        <w:t xml:space="preserve">Selector explicit?  → High Confidence → proceed to Step 5</w:t>
      </w:r>
    </w:p>
    <w:p>
      <w:pPr>
        <w:pStyle w:val="CodeBlock"/>
      </w:pPr>
      <w:r>
        <w:rPr>
          <w:rFonts w:ascii="Consolas" w:cs="Consolas" w:eastAsia="Consolas" w:hAnsi="Consolas"/>
          <w:sz w:val="20"/>
          <w:szCs w:val="20"/>
        </w:rPr>
        <w:t xml:space="preserve">Selector inferable? → Medium Confidence → proceed to Step 4</w:t>
      </w:r>
    </w:p>
    <w:p>
      <w:pPr>
        <w:pStyle w:val="CodeBlock"/>
      </w:pPr>
      <w:r>
        <w:rPr>
          <w:rFonts w:ascii="Consolas" w:cs="Consolas" w:eastAsia="Consolas" w:hAnsi="Consolas"/>
          <w:sz w:val="20"/>
          <w:szCs w:val="20"/>
        </w:rPr>
        <w:t xml:space="preserve">Selector unknown?   → Low Confidence → proceed to Step 4</w:t>
      </w:r>
    </w:p>
    <w:p>
      <w:pPr>
        <w:pStyle w:val="Heading2"/>
      </w:pPr>
      <w:r>
        <w:rPr>
          <w:rFonts w:ascii="Calibri(Headings)" w:cs="Calibri(Headings)" w:eastAsia="Calibri(Headings)" w:hAnsi="Calibri(Headings)"/>
          <w:b/>
          <w:bCs/>
          <w:color w:val="2E75B6"/>
          <w:sz w:val="26"/>
          <w:szCs w:val="26"/>
        </w:rPr>
        <w:t xml:space="preserve">Step 4 — Assign Confidence &amp; Apply Threshold Rules</w:t>
      </w:r>
    </w:p>
    <w:p>
      <w:pPr>
        <w:spacing w:after="80" w:before="80"/>
      </w:pPr>
      <w:r>
        <w:rPr>
          <w:rFonts w:ascii="Cambria" w:cs="Cambria" w:eastAsia="Cambria" w:hAnsi="Cambria"/>
          <w:sz w:val="24"/>
          <w:szCs w:val="24"/>
        </w:rPr>
        <w:t xml:space="preserve">The agent assigns a Confidence Level (defined in Section 6) and applies the corresponding threshold rule. High Confidence proceeds directly to Step 5. All other levels require user interaction before proceeding.</w:t>
      </w:r>
    </w:p>
    <w:p>
      <w:pPr>
        <w:pStyle w:val="Heading2"/>
      </w:pPr>
      <w:r>
        <w:rPr>
          <w:rFonts w:ascii="Calibri(Headings)" w:cs="Calibri(Headings)" w:eastAsia="Calibri(Headings)" w:hAnsi="Calibri(Headings)"/>
          <w:b/>
          <w:bCs/>
          <w:color w:val="2E75B6"/>
          <w:sz w:val="26"/>
          <w:szCs w:val="26"/>
        </w:rPr>
        <w:t xml:space="preserve">Step 5 — Show Interpretation &amp; Confirm Before Executing</w:t>
      </w:r>
    </w:p>
    <w:p>
      <w:pPr>
        <w:spacing w:after="80" w:before="80"/>
      </w:pPr>
      <w:r>
        <w:rPr>
          <w:rFonts w:ascii="Cambria" w:cs="Cambria" w:eastAsia="Cambria" w:hAnsi="Cambria"/>
          <w:sz w:val="24"/>
          <w:szCs w:val="24"/>
        </w:rPr>
        <w:t xml:space="preserve">For all Confidence Levels below High, the agent displays its full interpretation to the user before calling any XyzPilot function. The display must include:</w:t>
      </w:r>
    </w:p>
    <w:p>
      <w:pPr>
        <w:pStyle w:val="ListParagraph"/>
        <w:numPr>
          <w:ilvl w:val="0"/>
          <w:numId w:val="2"/>
        </w:numPr>
      </w:pPr>
      <w:r>
        <w:rPr>
          <w:rFonts w:ascii="Cambria" w:cs="Cambria" w:eastAsia="Cambria" w:hAnsi="Cambria"/>
          <w:sz w:val="24"/>
          <w:szCs w:val="24"/>
        </w:rPr>
        <w:t xml:space="preserve">The matched operator ID and name</w:t>
      </w:r>
    </w:p>
    <w:p>
      <w:pPr>
        <w:pStyle w:val="ListParagraph"/>
        <w:numPr>
          <w:ilvl w:val="0"/>
          <w:numId w:val="2"/>
        </w:numPr>
      </w:pPr>
      <w:r>
        <w:rPr>
          <w:rFonts w:ascii="Cambria" w:cs="Cambria" w:eastAsia="Cambria" w:hAnsi="Cambria"/>
          <w:sz w:val="24"/>
          <w:szCs w:val="24"/>
        </w:rPr>
        <w:t xml:space="preserve">The resolved inputs with their registry IDs</w:t>
      </w:r>
    </w:p>
    <w:p>
      <w:pPr>
        <w:pStyle w:val="ListParagraph"/>
        <w:numPr>
          <w:ilvl w:val="0"/>
          <w:numId w:val="2"/>
        </w:numPr>
      </w:pPr>
      <w:r>
        <w:rPr>
          <w:rFonts w:ascii="Cambria" w:cs="Cambria" w:eastAsia="Cambria" w:hAnsi="Cambria"/>
          <w:sz w:val="24"/>
          <w:szCs w:val="24"/>
        </w:rPr>
        <w:t xml:space="preserve">The selector and the basis for its selection (explicit / inferred / assumed)</w:t>
      </w:r>
    </w:p>
    <w:p>
      <w:pPr>
        <w:pStyle w:val="ListParagraph"/>
        <w:numPr>
          <w:ilvl w:val="0"/>
          <w:numId w:val="2"/>
        </w:numPr>
      </w:pPr>
      <w:r>
        <w:rPr>
          <w:rFonts w:ascii="Cambria" w:cs="Cambria" w:eastAsia="Cambria" w:hAnsi="Cambria"/>
          <w:sz w:val="24"/>
          <w:szCs w:val="24"/>
        </w:rPr>
        <w:t xml:space="preserve">The XyzPilot function that will be called</w:t>
      </w:r>
    </w:p>
    <w:p>
      <w:pPr>
        <w:pStyle w:val="ListParagraph"/>
        <w:numPr>
          <w:ilvl w:val="0"/>
          <w:numId w:val="2"/>
        </w:numPr>
      </w:pPr>
      <w:r>
        <w:rPr>
          <w:rFonts w:ascii="Cambria" w:cs="Cambria" w:eastAsia="Cambria" w:hAnsi="Cambria"/>
          <w:sz w:val="24"/>
          <w:szCs w:val="24"/>
        </w:rPr>
        <w:t xml:space="preserve">For multi-candidate operators: all candidates with coordinates</w:t>
      </w:r>
    </w:p>
    <w:p>
      <w:pPr>
        <w:spacing w:after="80" w:before="80"/>
      </w:pPr>
      <w:r>
        <w:rPr>
          <w:rFonts w:ascii="Cambria" w:cs="Cambria" w:eastAsia="Cambria" w:hAnsi="Cambria"/>
          <w:sz w:val="24"/>
          <w:szCs w:val="24"/>
        </w:rPr>
        <w:t xml:space="preserve">Execution proceeds </w:t>
      </w:r>
      <w:r>
        <w:rPr>
          <w:rFonts w:ascii="Cambria" w:cs="Cambria" w:eastAsia="Cambria" w:hAnsi="Cambria"/>
          <w:b/>
          <w:bCs/>
          <w:sz w:val="24"/>
          <w:szCs w:val="24"/>
        </w:rPr>
        <w:t xml:space="preserve">only after explicit user confirmation</w:t>
      </w:r>
      <w:r>
        <w:rPr>
          <w:rFonts w:ascii="Cambria" w:cs="Cambria" w:eastAsia="Cambria" w:hAnsi="Cambria"/>
          <w:sz w:val="24"/>
          <w:szCs w:val="24"/>
        </w:rPr>
        <w:t xml:space="preserve">. This is non-negotiable for all non-High Confidence interactions.</w:t>
      </w:r>
    </w:p>
    <w:p>
      <w:pPr>
        <w:pStyle w:val="Heading2"/>
      </w:pPr>
      <w:r>
        <w:rPr>
          <w:rFonts w:ascii="Calibri(Headings)" w:cs="Calibri(Headings)" w:eastAsia="Calibri(Headings)" w:hAnsi="Calibri(Headings)"/>
          <w:b/>
          <w:bCs/>
          <w:color w:val="2E75B6"/>
          <w:sz w:val="26"/>
          <w:szCs w:val="26"/>
        </w:rPr>
        <w:t xml:space="preserve">Step 6 — Execute, Register, and Log</w:t>
      </w:r>
    </w:p>
    <w:p>
      <w:pPr>
        <w:spacing w:after="80" w:before="80"/>
      </w:pPr>
      <w:r>
        <w:rPr>
          <w:rFonts w:ascii="Cambria" w:cs="Cambria" w:eastAsia="Cambria" w:hAnsi="Cambria"/>
          <w:sz w:val="24"/>
          <w:szCs w:val="24"/>
        </w:rPr>
        <w:t xml:space="preserve">On confirmation, the agent calls the XyzPilot function, registers the result, and writes a structured log entry (see Section 9). The log entry must capture the full decision chain from input to output.</w:t>
      </w:r>
    </w:p>
    <w:p>
      <w:pPr>
        <w:pBdr>
          <w:top w:val="none" w:color="FFFFFF" w:sz="0"/>
          <w:bottom w:val="single" w:color="CCCCCC" w:sz="4"/>
          <w:left w:val="none" w:color="FFFFFF" w:sz="0"/>
          <w:right w:val="none" w:color="FFFFFF" w:sz="0"/>
        </w:pBdr>
        <w:spacing w:after="160" w:before="160"/>
      </w:pPr>
      <w:r>
        <w:t xml:space="preserve"/>
      </w:r>
    </w:p>
    <w:p>
      <w:pPr>
        <w:pStyle w:val="Heading1"/>
      </w:pPr>
      <w:bookmarkStart w:name="sec-confidence" w:id="1"/>
      <w:r>
        <w:rPr>
          <w:rFonts w:ascii="Calibri(Headings)" w:cs="Calibri(Headings)" w:eastAsia="Calibri(Headings)" w:hAnsi="Calibri(Headings)"/>
          <w:b/>
          <w:bCs/>
          <w:color w:val="4F81BD"/>
          <w:sz w:val="32"/>
          <w:szCs w:val="32"/>
        </w:rPr>
        <w:t xml:space="preserve">6.  Confidence Classification System</w:t>
      </w:r>
      <w:bookmarkEnd w:id="1"/>
    </w:p>
    <w:p>
      <w:pPr>
        <w:spacing w:after="120" w:before="80"/>
      </w:pPr>
      <w:r>
        <w:rPr>
          <w:rFonts w:ascii="Cambria" w:cs="Cambria" w:eastAsia="Cambria" w:hAnsi="Cambria"/>
          <w:sz w:val="24"/>
          <w:szCs w:val="24"/>
        </w:rPr>
        <w:t xml:space="preserve">Every agent interpretation is assigned one of four Confidence Levels. The level determines the agent's behaviour before execution.</w:t>
      </w:r>
    </w:p>
    <w:tbl>
      <w:tblPr>
        <w:tblW w:type="auto" w:w="100"/>
        <w:tblBorders>
          <w:top w:val="none" w:color="FFFFFF" w:sz="0"/>
          <w:left w:val="none" w:color="FFFFFF" w:sz="0"/>
          <w:bottom w:val="none" w:color="FFFFFF" w:sz="0"/>
          <w:right w:val="none" w:color="FFFFFF" w:sz="0"/>
          <w:insideH w:val="single" w:color="auto" w:sz="4"/>
          <w:insideV w:val="single" w:color="auto" w:sz="4"/>
        </w:tblBorders>
        <w:tblCellMar>
          <w:top w:type="dxa" w:w="100"/>
          <w:left w:type="dxa" w:w="180"/>
          <w:bottom w:type="dxa" w:w="100"/>
          <w:right w:type="dxa" w:w="180"/>
        </w:tblCellMar>
      </w:tblPr>
      <w:tblGrid>
        <w:gridCol w:w="1440"/>
        <w:gridCol w:w="2520"/>
        <w:gridCol w:w="2880"/>
        <w:gridCol w:w="2520"/>
      </w:tblGrid>
      <w:tr>
        <w:trPr>
          <w:tblHeader/>
        </w:trPr>
        <w:tc>
          <w:tcPr>
            <w:tcW w:type="dxa" w:w="144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Level</w:t>
            </w:r>
          </w:p>
        </w:tc>
        <w:tc>
          <w:tcPr>
            <w:tcW w:type="dxa" w:w="252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Criteria</w:t>
            </w:r>
          </w:p>
        </w:tc>
        <w:tc>
          <w:tcPr>
            <w:tcW w:type="dxa" w:w="288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Agent Behaviour</w:t>
            </w:r>
          </w:p>
        </w:tc>
        <w:tc>
          <w:tcPr>
            <w:tcW w:type="dxa" w:w="252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Example</w:t>
            </w:r>
          </w:p>
        </w:tc>
      </w:tr>
      <w:tr>
        <w:tc>
          <w:tcPr>
            <w:tcW w:type="dxa" w:w="1440"/>
            <w:tcBorders>
              <w:top w:val="none" w:color="FFFFFF" w:sz="0"/>
              <w:left w:val="none" w:color="FFFFFF" w:sz="0"/>
              <w:bottom w:val="none" w:color="FFFFFF" w:sz="0"/>
              <w:right w:val="none" w:color="FFFFFF" w:sz="0"/>
            </w:tcBorders>
          </w:tcPr>
          <w:p>
            <w:r>
              <w:rPr>
                <w:rFonts w:ascii="Cambria" w:cs="Cambria" w:eastAsia="Cambria" w:hAnsi="Cambria"/>
                <w:b/>
                <w:bCs/>
                <w:color w:val="27AE60"/>
                <w:sz w:val="22"/>
                <w:szCs w:val="22"/>
              </w:rPr>
              <w:t xml:space="preserve">High</w:t>
            </w:r>
          </w:p>
        </w:tc>
        <w:tc>
          <w:tcPr>
            <w:tcW w:type="dxa" w:w="252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Exact operator match, all inputs valid, selector explicit</w:t>
            </w:r>
          </w:p>
        </w:tc>
        <w:tc>
          <w:tcPr>
            <w:tcW w:type="dxa" w:w="28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Execute immediately. Log outcome.</w:t>
            </w:r>
          </w:p>
        </w:tc>
        <w:tc>
          <w:tcPr>
            <w:tcW w:type="dxa" w:w="2520"/>
            <w:tcBorders>
              <w:top w:val="none" w:color="FFFFFF" w:sz="0"/>
              <w:left w:val="none" w:color="FFFFFF" w:sz="0"/>
              <w:bottom w:val="none" w:color="FFFFFF" w:sz="0"/>
              <w:right w:val="none" w:color="FFFFFF" w:sz="0"/>
            </w:tcBorders>
          </w:tcPr>
          <w:p>
            <w:r>
              <w:rPr>
                <w:rFonts w:ascii="Consolas" w:cs="Consolas" w:eastAsia="Consolas" w:hAnsi="Consolas"/>
                <w:color w:val="2F4F4F"/>
                <w:sz w:val="20"/>
                <w:szCs w:val="20"/>
              </w:rPr>
              <w:t xml:space="preserve">"Point/YLarge,Intof,L2,C1"</w:t>
            </w:r>
          </w:p>
        </w:tc>
      </w:tr>
      <w:tr>
        <w:tc>
          <w:tcPr>
            <w:tcW w:type="dxa" w:w="1440"/>
            <w:tcBorders>
              <w:top w:val="none" w:color="FFFFFF" w:sz="0"/>
              <w:left w:val="none" w:color="FFFFFF" w:sz="0"/>
              <w:bottom w:val="none" w:color="FFFFFF" w:sz="0"/>
              <w:right w:val="none" w:color="FFFFFF" w:sz="0"/>
            </w:tcBorders>
          </w:tcPr>
          <w:p>
            <w:r>
              <w:rPr>
                <w:rFonts w:ascii="Cambria" w:cs="Cambria" w:eastAsia="Cambria" w:hAnsi="Cambria"/>
                <w:b/>
                <w:bCs/>
                <w:color w:val="E67E22"/>
                <w:sz w:val="22"/>
                <w:szCs w:val="22"/>
              </w:rPr>
              <w:t xml:space="preserve">Medium</w:t>
            </w:r>
          </w:p>
        </w:tc>
        <w:tc>
          <w:tcPr>
            <w:tcW w:type="dxa" w:w="252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Operator matched, selector inferred from geometric context</w:t>
            </w:r>
          </w:p>
        </w:tc>
        <w:tc>
          <w:tcPr>
            <w:tcW w:type="dxa" w:w="28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Show full interpretation. Ask to confirm before executing.</w:t>
            </w:r>
          </w:p>
        </w:tc>
        <w:tc>
          <w:tcPr>
            <w:tcW w:type="dxa" w:w="2520"/>
            <w:tcBorders>
              <w:top w:val="none" w:color="FFFFFF" w:sz="0"/>
              <w:left w:val="none" w:color="FFFFFF" w:sz="0"/>
              <w:bottom w:val="none" w:color="FFFFFF" w:sz="0"/>
              <w:right w:val="none" w:color="FFFFFF" w:sz="0"/>
            </w:tcBorders>
          </w:tcPr>
          <w:p>
            <w:r>
              <w:rPr>
                <w:rFonts w:ascii="Consolas" w:cs="Consolas" w:eastAsia="Consolas" w:hAnsi="Consolas"/>
                <w:color w:val="2F4F4F"/>
                <w:sz w:val="20"/>
                <w:szCs w:val="20"/>
              </w:rPr>
              <w:t xml:space="preserve">"Intersection of L2 and C1" (no selector stated)</w:t>
            </w:r>
          </w:p>
        </w:tc>
      </w:tr>
      <w:tr>
        <w:tc>
          <w:tcPr>
            <w:tcW w:type="dxa" w:w="1440"/>
            <w:tcBorders>
              <w:top w:val="none" w:color="FFFFFF" w:sz="0"/>
              <w:left w:val="none" w:color="FFFFFF" w:sz="0"/>
              <w:bottom w:val="none" w:color="FFFFFF" w:sz="0"/>
              <w:right w:val="none" w:color="FFFFFF" w:sz="0"/>
            </w:tcBorders>
          </w:tcPr>
          <w:p>
            <w:r>
              <w:rPr>
                <w:rFonts w:ascii="Cambria" w:cs="Cambria" w:eastAsia="Cambria" w:hAnsi="Cambria"/>
                <w:b/>
                <w:bCs/>
                <w:color w:val="C0392B"/>
                <w:sz w:val="22"/>
                <w:szCs w:val="22"/>
              </w:rPr>
              <w:t xml:space="preserve">Low</w:t>
            </w:r>
          </w:p>
        </w:tc>
        <w:tc>
          <w:tcPr>
            <w:tcW w:type="dxa" w:w="252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Operator matched but selector unresolvable, or vague spatial language used</w:t>
            </w:r>
          </w:p>
        </w:tc>
        <w:tc>
          <w:tcPr>
            <w:tcW w:type="dxa" w:w="28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Ask clarifying question. Do not execute until resolved.</w:t>
            </w:r>
          </w:p>
        </w:tc>
        <w:tc>
          <w:tcPr>
            <w:tcW w:type="dxa" w:w="2520"/>
            <w:tcBorders>
              <w:top w:val="none" w:color="FFFFFF" w:sz="0"/>
              <w:left w:val="none" w:color="FFFFFF" w:sz="0"/>
              <w:bottom w:val="none" w:color="FFFFFF" w:sz="0"/>
              <w:right w:val="none" w:color="FFFFFF" w:sz="0"/>
            </w:tcBorders>
          </w:tcPr>
          <w:p>
            <w:r>
              <w:rPr>
                <w:rFonts w:ascii="Consolas" w:cs="Consolas" w:eastAsia="Consolas" w:hAnsi="Consolas"/>
                <w:color w:val="2F4F4F"/>
                <w:sz w:val="20"/>
                <w:szCs w:val="20"/>
              </w:rPr>
              <w:t xml:space="preserve">"Point near the top of C1"</w:t>
            </w:r>
          </w:p>
        </w:tc>
      </w:tr>
      <w:tr>
        <w:tc>
          <w:tcPr>
            <w:tcW w:type="dxa" w:w="1440"/>
            <w:tcBorders>
              <w:top w:val="none" w:color="FFFFFF" w:sz="0"/>
              <w:left w:val="none" w:color="FFFFFF" w:sz="0"/>
              <w:bottom w:val="none" w:color="FFFFFF" w:sz="0"/>
              <w:right w:val="none" w:color="FFFFFF" w:sz="0"/>
            </w:tcBorders>
          </w:tcPr>
          <w:p>
            <w:r>
              <w:rPr>
                <w:rFonts w:ascii="Cambria" w:cs="Cambria" w:eastAsia="Cambria" w:hAnsi="Cambria"/>
                <w:b/>
                <w:bCs/>
                <w:color w:val="888888"/>
                <w:sz w:val="22"/>
                <w:szCs w:val="22"/>
              </w:rPr>
              <w:t xml:space="preserve">None</w:t>
            </w:r>
          </w:p>
        </w:tc>
        <w:tc>
          <w:tcPr>
            <w:tcW w:type="dxa" w:w="252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No operator match, or forward reference, or catalog gap</w:t>
            </w:r>
          </w:p>
        </w:tc>
        <w:tc>
          <w:tcPr>
            <w:tcW w:type="dxa" w:w="28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Return informative error. Suggest nearest alternatives if available.</w:t>
            </w:r>
          </w:p>
        </w:tc>
        <w:tc>
          <w:tcPr>
            <w:tcW w:type="dxa" w:w="2520"/>
            <w:tcBorders>
              <w:top w:val="none" w:color="FFFFFF" w:sz="0"/>
              <w:left w:val="none" w:color="FFFFFF" w:sz="0"/>
              <w:bottom w:val="none" w:color="FFFFFF" w:sz="0"/>
              <w:right w:val="none" w:color="FFFFFF" w:sz="0"/>
            </w:tcBorders>
          </w:tcPr>
          <w:p>
            <w:r>
              <w:rPr>
                <w:rFonts w:ascii="Consolas" w:cs="Consolas" w:eastAsia="Consolas" w:hAnsi="Consolas"/>
                <w:color w:val="2F4F4F"/>
                <w:sz w:val="20"/>
                <w:szCs w:val="20"/>
              </w:rPr>
              <w:t xml:space="preserve">"Fillet L1 and L2 with r=5"</w:t>
            </w:r>
          </w:p>
        </w:tc>
      </w:tr>
    </w:tbl>
    <w:p>
      <w:pPr>
        <w:pBdr>
          <w:top w:val="none" w:color="FFFFFF" w:sz="0"/>
          <w:bottom w:val="single" w:color="CCCCCC" w:sz="4"/>
          <w:left w:val="none" w:color="FFFFFF" w:sz="0"/>
          <w:right w:val="none" w:color="FFFFFF" w:sz="0"/>
        </w:pBdr>
        <w:spacing w:after="160" w:before="160"/>
      </w:pPr>
      <w:r>
        <w:t xml:space="preserve"/>
      </w:r>
    </w:p>
    <w:p>
      <w:pPr>
        <w:pStyle w:val="Heading1"/>
      </w:pPr>
      <w:bookmarkStart w:name="sec-operator-rules" w:id="1"/>
      <w:r>
        <w:rPr>
          <w:rFonts w:ascii="Calibri(Headings)" w:cs="Calibri(Headings)" w:eastAsia="Calibri(Headings)" w:hAnsi="Calibri(Headings)"/>
          <w:b/>
          <w:bCs/>
          <w:color w:val="4F81BD"/>
          <w:sz w:val="32"/>
          <w:szCs w:val="32"/>
        </w:rPr>
        <w:t xml:space="preserve">7.  Operator-Specific Disambiguation Rules</w:t>
      </w:r>
      <w:bookmarkEnd w:id="1"/>
    </w:p>
    <w:p>
      <w:pPr>
        <w:spacing w:after="120" w:before="80"/>
      </w:pPr>
      <w:r>
        <w:rPr>
          <w:rFonts w:ascii="Cambria" w:cs="Cambria" w:eastAsia="Cambria" w:hAnsi="Cambria"/>
          <w:sz w:val="24"/>
          <w:szCs w:val="24"/>
        </w:rPr>
        <w:t xml:space="preserve">Certain operator classes require specific disambiguation handling beyond the general protocol. These rules are mandatory and override the general confidence threshold where specified.</w:t>
      </w:r>
    </w:p>
    <w:p>
      <w:pPr>
        <w:pStyle w:val="Heading2"/>
      </w:pPr>
      <w:r>
        <w:rPr>
          <w:rFonts w:ascii="Calibri(Headings)" w:cs="Calibri(Headings)" w:eastAsia="Calibri(Headings)" w:hAnsi="Calibri(Headings)"/>
          <w:b/>
          <w:bCs/>
          <w:color w:val="2E75B6"/>
          <w:sz w:val="26"/>
          <w:szCs w:val="26"/>
        </w:rPr>
        <w:t xml:space="preserve">7.1  Two-Candidate Intersection Operators</w:t>
      </w:r>
    </w:p>
    <w:p>
      <w:pPr>
        <w:spacing w:after="80" w:before="80"/>
      </w:pPr>
      <w:r>
        <w:rPr>
          <w:rFonts w:ascii="Cambria" w:cs="Cambria" w:eastAsia="Cambria" w:hAnsi="Cambria"/>
          <w:i/>
          <w:iCs/>
          <w:sz w:val="24"/>
          <w:szCs w:val="24"/>
        </w:rPr>
        <w:t xml:space="preserve">Applies to: all Intof operators (line/circle, circle/circle, line/line at angle).</w:t>
      </w:r>
    </w:p>
    <w:p>
      <w:pPr>
        <w:spacing w:after="80" w:before="80"/>
      </w:pPr>
      <w:r>
        <w:rPr>
          <w:rFonts w:ascii="Cambria" w:cs="Cambria" w:eastAsia="Cambria" w:hAnsi="Cambria"/>
          <w:b/>
          <w:bCs/>
          <w:sz w:val="24"/>
          <w:szCs w:val="24"/>
        </w:rPr>
        <w:t xml:space="preserve">Rule: </w:t>
      </w:r>
      <w:r>
        <w:rPr>
          <w:rFonts w:ascii="Cambria" w:cs="Cambria" w:eastAsia="Cambria" w:hAnsi="Cambria"/>
          <w:sz w:val="24"/>
          <w:szCs w:val="24"/>
        </w:rPr>
        <w:t xml:space="preserve">If the selector is not explicitly stated, the agent MUST present both candidates with their computed coordinates and require the user to select one. Defaulting to either candidate is forbidden regardless of geometric context.</w:t>
      </w:r>
    </w:p>
    <w:p>
      <w:pPr>
        <w:pStyle w:val="CodeBlock"/>
      </w:pPr>
      <w:r>
        <w:rPr>
          <w:rFonts w:ascii="Consolas" w:cs="Consolas" w:eastAsia="Consolas" w:hAnsi="Consolas"/>
          <w:sz w:val="20"/>
          <w:szCs w:val="20"/>
        </w:rPr>
        <w:t xml:space="preserve">Agent: "L2 and C1 intersect at two points:"</w:t>
      </w:r>
    </w:p>
    <w:p>
      <w:pPr>
        <w:pStyle w:val="CodeBlock"/>
      </w:pPr>
      <w:r>
        <w:rPr>
          <w:rFonts w:ascii="Consolas" w:cs="Consolas" w:eastAsia="Consolas" w:hAnsi="Consolas"/>
          <w:sz w:val="20"/>
          <w:szCs w:val="20"/>
        </w:rPr>
        <w:t xml:space="preserve">       "  [1] YLarge candidate at (x1, y1)"</w:t>
      </w:r>
    </w:p>
    <w:p>
      <w:pPr>
        <w:pStyle w:val="CodeBlock"/>
      </w:pPr>
      <w:r>
        <w:rPr>
          <w:rFonts w:ascii="Consolas" w:cs="Consolas" w:eastAsia="Consolas" w:hAnsi="Consolas"/>
          <w:sz w:val="20"/>
          <w:szCs w:val="20"/>
        </w:rPr>
        <w:t xml:space="preserve">       "  [2] YSmall candidate at (x2, y2)"</w:t>
      </w:r>
    </w:p>
    <w:p>
      <w:pPr>
        <w:pStyle w:val="CodeBlock"/>
      </w:pPr>
      <w:r>
        <w:rPr>
          <w:rFonts w:ascii="Consolas" w:cs="Consolas" w:eastAsia="Consolas" w:hAnsi="Consolas"/>
          <w:sz w:val="20"/>
          <w:szCs w:val="20"/>
        </w:rPr>
        <w:t xml:space="preserve">       "Which would you like to create? (1 or 2)"</w:t>
      </w:r>
    </w:p>
    <w:p>
      <w:pPr>
        <w:pStyle w:val="Heading2"/>
      </w:pPr>
      <w:r>
        <w:rPr>
          <w:rFonts w:ascii="Calibri(Headings)" w:cs="Calibri(Headings)" w:eastAsia="Calibri(Headings)" w:hAnsi="Calibri(Headings)"/>
          <w:b/>
          <w:bCs/>
          <w:color w:val="2E75B6"/>
          <w:sz w:val="26"/>
          <w:szCs w:val="26"/>
        </w:rPr>
        <w:t xml:space="preserve">7.2  Two-Candidate Tangent Operators</w:t>
      </w:r>
    </w:p>
    <w:p>
      <w:pPr>
        <w:spacing w:after="80" w:before="80"/>
      </w:pPr>
      <w:r>
        <w:rPr>
          <w:rFonts w:ascii="Cambria" w:cs="Cambria" w:eastAsia="Cambria" w:hAnsi="Cambria"/>
          <w:i/>
          <w:iCs/>
          <w:sz w:val="24"/>
          <w:szCs w:val="24"/>
        </w:rPr>
        <w:t xml:space="preserve">Applies to: all tangent line/circle operators from an external point.</w:t>
      </w:r>
    </w:p>
    <w:p>
      <w:pPr>
        <w:spacing w:after="80" w:before="80"/>
      </w:pPr>
      <w:r>
        <w:rPr>
          <w:rFonts w:ascii="Cambria" w:cs="Cambria" w:eastAsia="Cambria" w:hAnsi="Cambria"/>
          <w:b/>
          <w:bCs/>
          <w:sz w:val="24"/>
          <w:szCs w:val="24"/>
        </w:rPr>
        <w:t xml:space="preserve">Rule: </w:t>
      </w:r>
      <w:r>
        <w:rPr>
          <w:rFonts w:ascii="Cambria" w:cs="Cambria" w:eastAsia="Cambria" w:hAnsi="Cambria"/>
          <w:sz w:val="24"/>
          <w:szCs w:val="24"/>
        </w:rPr>
        <w:t xml:space="preserve">Same as 7.1. Both tangent lines must be presented with their defining angles or endpoint coordinates. No default selection permitted.</w:t>
      </w:r>
    </w:p>
    <w:p>
      <w:pPr>
        <w:pStyle w:val="Heading2"/>
      </w:pPr>
      <w:r>
        <w:rPr>
          <w:rFonts w:ascii="Calibri(Headings)" w:cs="Calibri(Headings)" w:eastAsia="Calibri(Headings)" w:hAnsi="Calibri(Headings)"/>
          <w:b/>
          <w:bCs/>
          <w:color w:val="2E75B6"/>
          <w:sz w:val="26"/>
          <w:szCs w:val="26"/>
        </w:rPr>
        <w:t xml:space="preserve">7.3  Coordinate-Based Operators</w:t>
      </w:r>
    </w:p>
    <w:p>
      <w:pPr>
        <w:spacing w:after="80" w:before="80"/>
      </w:pPr>
      <w:r>
        <w:rPr>
          <w:rFonts w:ascii="Cambria" w:cs="Cambria" w:eastAsia="Cambria" w:hAnsi="Cambria"/>
          <w:i/>
          <w:iCs/>
          <w:sz w:val="24"/>
          <w:szCs w:val="24"/>
        </w:rPr>
        <w:t xml:space="preserve">Applies to: Point_XY, Point_XYZ, and similar direct-coordinate operators.</w:t>
      </w:r>
    </w:p>
    <w:p>
      <w:pPr>
        <w:spacing w:after="80" w:before="80"/>
      </w:pPr>
      <w:r>
        <w:rPr>
          <w:rFonts w:ascii="Cambria" w:cs="Cambria" w:eastAsia="Cambria" w:hAnsi="Cambria"/>
          <w:b/>
          <w:bCs/>
          <w:sz w:val="24"/>
          <w:szCs w:val="24"/>
        </w:rPr>
        <w:t xml:space="preserve">Rule: </w:t>
      </w:r>
      <w:r>
        <w:rPr>
          <w:rFonts w:ascii="Cambria" w:cs="Cambria" w:eastAsia="Cambria" w:hAnsi="Cambria"/>
          <w:sz w:val="24"/>
          <w:szCs w:val="24"/>
        </w:rPr>
        <w:t xml:space="preserve">These operators have no selector and produce a single deterministic result. If all inputs are valid, assign High Confidence and execute immediately without confirmation.</w:t>
      </w:r>
    </w:p>
    <w:p>
      <w:pPr>
        <w:pBdr>
          <w:top w:val="none" w:color="FFFFFF" w:sz="0"/>
          <w:bottom w:val="single" w:color="CCCCCC" w:sz="4"/>
          <w:left w:val="none" w:color="FFFFFF" w:sz="0"/>
          <w:right w:val="none" w:color="FFFFFF" w:sz="0"/>
        </w:pBdr>
        <w:spacing w:after="160" w:before="160"/>
      </w:pPr>
      <w:r>
        <w:t xml:space="preserve"/>
      </w:r>
    </w:p>
    <w:p>
      <w:pPr>
        <w:pStyle w:val="Heading1"/>
      </w:pPr>
      <w:bookmarkStart w:name="sec-response-templates" w:id="1"/>
      <w:r>
        <w:rPr>
          <w:rFonts w:ascii="Calibri(Headings)" w:cs="Calibri(Headings)" w:eastAsia="Calibri(Headings)" w:hAnsi="Calibri(Headings)"/>
          <w:b/>
          <w:bCs/>
          <w:color w:val="4F81BD"/>
          <w:sz w:val="32"/>
          <w:szCs w:val="32"/>
        </w:rPr>
        <w:t xml:space="preserve">8.  Agent Response Templates</w:t>
      </w:r>
      <w:bookmarkEnd w:id="1"/>
    </w:p>
    <w:p>
      <w:pPr>
        <w:spacing w:after="120" w:before="80"/>
      </w:pPr>
      <w:r>
        <w:rPr>
          <w:rFonts w:ascii="Cambria" w:cs="Cambria" w:eastAsia="Cambria" w:hAnsi="Cambria"/>
          <w:sz w:val="24"/>
          <w:szCs w:val="24"/>
        </w:rPr>
        <w:t xml:space="preserve">The following templates define the required format for agent responses at each Confidence Level. Agents must follow these templates precisely to ensure consistent user experience.</w:t>
      </w:r>
    </w:p>
    <w:p>
      <w:pPr>
        <w:pStyle w:val="Heading2"/>
      </w:pPr>
      <w:r>
        <w:rPr>
          <w:rFonts w:ascii="Calibri(Headings)" w:cs="Calibri(Headings)" w:eastAsia="Calibri(Headings)" w:hAnsi="Calibri(Headings)"/>
          <w:b/>
          <w:bCs/>
          <w:color w:val="2E75B6"/>
          <w:sz w:val="26"/>
          <w:szCs w:val="26"/>
        </w:rPr>
        <w:t xml:space="preserve">8.1  High Confidence — Execute &amp; Confirm</w:t>
      </w:r>
    </w:p>
    <w:p>
      <w:pPr>
        <w:pStyle w:val="CodeBlock"/>
      </w:pPr>
      <w:r>
        <w:rPr>
          <w:rFonts w:ascii="Consolas" w:cs="Consolas" w:eastAsia="Consolas" w:hAnsi="Consolas"/>
          <w:sz w:val="20"/>
          <w:szCs w:val="20"/>
        </w:rPr>
        <w:t xml:space="preserve">Created [entity_type][ID] at ([x], [y]).</w:t>
      </w:r>
    </w:p>
    <w:p>
      <w:pPr>
        <w:pStyle w:val="CodeBlock"/>
      </w:pPr>
      <w:r>
        <w:rPr>
          <w:rFonts w:ascii="Consolas" w:cs="Consolas" w:eastAsia="Consolas" w:hAnsi="Consolas"/>
          <w:sz w:val="20"/>
          <w:szCs w:val="20"/>
        </w:rPr>
        <w:t xml:space="preserve">Example: "Created P7 at (42.3, 18.1)."</w:t>
      </w:r>
    </w:p>
    <w:p>
      <w:pPr>
        <w:pStyle w:val="Heading2"/>
      </w:pPr>
      <w:r>
        <w:rPr>
          <w:rFonts w:ascii="Calibri(Headings)" w:cs="Calibri(Headings)" w:eastAsia="Calibri(Headings)" w:hAnsi="Calibri(Headings)"/>
          <w:b/>
          <w:bCs/>
          <w:color w:val="2E75B6"/>
          <w:sz w:val="26"/>
          <w:szCs w:val="26"/>
        </w:rPr>
        <w:t xml:space="preserve">8.2  Medium Confidence — Show Interpretation &amp; Confirm</w:t>
      </w:r>
    </w:p>
    <w:p>
      <w:pPr>
        <w:pStyle w:val="CodeBlock"/>
      </w:pPr>
      <w:r>
        <w:rPr>
          <w:rFonts w:ascii="Consolas" w:cs="Consolas" w:eastAsia="Consolas" w:hAnsi="Consolas"/>
          <w:sz w:val="20"/>
          <w:szCs w:val="20"/>
        </w:rPr>
        <w:t xml:space="preserve">I interpret this as:</w:t>
      </w:r>
    </w:p>
    <w:p>
      <w:pPr>
        <w:pStyle w:val="CodeBlock"/>
      </w:pPr>
      <w:r>
        <w:rPr>
          <w:rFonts w:ascii="Consolas" w:cs="Consolas" w:eastAsia="Consolas" w:hAnsi="Consolas"/>
          <w:sz w:val="20"/>
          <w:szCs w:val="20"/>
        </w:rPr>
        <w:t xml:space="preserve">  Operator:  [OPERATOR_ID]</w:t>
      </w:r>
    </w:p>
    <w:p>
      <w:pPr>
        <w:pStyle w:val="CodeBlock"/>
      </w:pPr>
      <w:r>
        <w:rPr>
          <w:rFonts w:ascii="Consolas" w:cs="Consolas" w:eastAsia="Consolas" w:hAnsi="Consolas"/>
          <w:sz w:val="20"/>
          <w:szCs w:val="20"/>
        </w:rPr>
        <w:t xml:space="preserve">  Function:  [Function_Name]([inputs])</w:t>
      </w:r>
    </w:p>
    <w:p>
      <w:pPr>
        <w:pStyle w:val="CodeBlock"/>
      </w:pPr>
      <w:r>
        <w:rPr>
          <w:rFonts w:ascii="Consolas" w:cs="Consolas" w:eastAsia="Consolas" w:hAnsi="Consolas"/>
          <w:sz w:val="20"/>
          <w:szCs w:val="20"/>
        </w:rPr>
        <w:t xml:space="preserve">  Selector:  [selector] (inferred from [basis])</w:t>
      </w:r>
    </w:p>
    <w:p>
      <w:pPr>
        <w:pStyle w:val="CodeBlock"/>
      </w:pPr>
      <w:r>
        <w:rPr>
          <w:rFonts w:ascii="Consolas" w:cs="Consolas" w:eastAsia="Consolas" w:hAnsi="Consolas"/>
          <w:sz w:val="20"/>
          <w:szCs w:val="20"/>
        </w:rPr>
        <w:t xml:space="preserve">  Result:    Will create [entity_type] at approximately ([x], [y])</w:t>
      </w:r>
    </w:p>
    <w:p>
      <w:pPr>
        <w:pStyle w:val="CodeBlock"/>
      </w:pPr>
      <w:r>
        <w:rPr>
          <w:rFonts w:ascii="Consolas" w:cs="Consolas" w:eastAsia="Consolas" w:hAnsi="Consolas"/>
          <w:sz w:val="20"/>
          <w:szCs w:val="20"/>
        </w:rPr>
        <w:t xml:space="preserve">Proceed? (yes / no / specify different selector)</w:t>
      </w:r>
    </w:p>
    <w:p>
      <w:pPr>
        <w:pStyle w:val="Heading2"/>
      </w:pPr>
      <w:r>
        <w:rPr>
          <w:rFonts w:ascii="Calibri(Headings)" w:cs="Calibri(Headings)" w:eastAsia="Calibri(Headings)" w:hAnsi="Calibri(Headings)"/>
          <w:b/>
          <w:bCs/>
          <w:color w:val="2E75B6"/>
          <w:sz w:val="26"/>
          <w:szCs w:val="26"/>
        </w:rPr>
        <w:t xml:space="preserve">8.3  Low Confidence — Clarifying Question</w:t>
      </w:r>
    </w:p>
    <w:p>
      <w:pPr>
        <w:pStyle w:val="CodeBlock"/>
      </w:pPr>
      <w:r>
        <w:rPr>
          <w:rFonts w:ascii="Consolas" w:cs="Consolas" w:eastAsia="Consolas" w:hAnsi="Consolas"/>
          <w:sz w:val="20"/>
          <w:szCs w:val="20"/>
        </w:rPr>
        <w:t xml:space="preserve">I matched operator [OPERATOR_ID] but could not resolve the selector.</w:t>
      </w:r>
    </w:p>
    <w:p>
      <w:pPr>
        <w:pStyle w:val="CodeBlock"/>
      </w:pPr>
      <w:r>
        <w:rPr>
          <w:rFonts w:ascii="Consolas" w:cs="Consolas" w:eastAsia="Consolas" w:hAnsi="Consolas"/>
          <w:sz w:val="20"/>
          <w:szCs w:val="20"/>
        </w:rPr>
        <w:t xml:space="preserve">[Operator_Name] produces two candidates:</w:t>
      </w:r>
    </w:p>
    <w:p>
      <w:pPr>
        <w:pStyle w:val="CodeBlock"/>
      </w:pPr>
      <w:r>
        <w:rPr>
          <w:rFonts w:ascii="Consolas" w:cs="Consolas" w:eastAsia="Consolas" w:hAnsi="Consolas"/>
          <w:sz w:val="20"/>
          <w:szCs w:val="20"/>
        </w:rPr>
        <w:t xml:space="preserve">  [1] [selector_1] at ([x1], [y1])</w:t>
      </w:r>
    </w:p>
    <w:p>
      <w:pPr>
        <w:pStyle w:val="CodeBlock"/>
      </w:pPr>
      <w:r>
        <w:rPr>
          <w:rFonts w:ascii="Consolas" w:cs="Consolas" w:eastAsia="Consolas" w:hAnsi="Consolas"/>
          <w:sz w:val="20"/>
          <w:szCs w:val="20"/>
        </w:rPr>
        <w:t xml:space="preserve">  [2] [selector_2] at ([x2], [y2])</w:t>
      </w:r>
    </w:p>
    <w:p>
      <w:pPr>
        <w:pStyle w:val="CodeBlock"/>
      </w:pPr>
      <w:r>
        <w:rPr>
          <w:rFonts w:ascii="Consolas" w:cs="Consolas" w:eastAsia="Consolas" w:hAnsi="Consolas"/>
          <w:sz w:val="20"/>
          <w:szCs w:val="20"/>
        </w:rPr>
        <w:t xml:space="preserve">Which would you like? (1 or 2, or specify: XLarge / XSmall / YLarge / YSmall)</w:t>
      </w:r>
    </w:p>
    <w:p>
      <w:pPr>
        <w:pStyle w:val="Heading2"/>
      </w:pPr>
      <w:r>
        <w:rPr>
          <w:rFonts w:ascii="Calibri(Headings)" w:cs="Calibri(Headings)" w:eastAsia="Calibri(Headings)" w:hAnsi="Calibri(Headings)"/>
          <w:b/>
          <w:bCs/>
          <w:color w:val="2E75B6"/>
          <w:sz w:val="26"/>
          <w:szCs w:val="26"/>
        </w:rPr>
        <w:t xml:space="preserve">8.4  None — Informative Error</w:t>
      </w:r>
    </w:p>
    <w:p>
      <w:pPr>
        <w:pStyle w:val="CodeBlock"/>
      </w:pPr>
      <w:r>
        <w:rPr>
          <w:rFonts w:ascii="Consolas" w:cs="Consolas" w:eastAsia="Consolas" w:hAnsi="Consolas"/>
          <w:sz w:val="20"/>
          <w:szCs w:val="20"/>
        </w:rPr>
        <w:t xml:space="preserve">I could not match this command to a supported operator.</w:t>
      </w:r>
    </w:p>
    <w:p>
      <w:pPr>
        <w:pStyle w:val="CodeBlock"/>
      </w:pPr>
      <w:r>
        <w:rPr>
          <w:rFonts w:ascii="Consolas" w:cs="Consolas" w:eastAsia="Consolas" w:hAnsi="Consolas"/>
          <w:sz w:val="20"/>
          <w:szCs w:val="20"/>
        </w:rPr>
        <w:t xml:space="preserve">[Reason: missing entity / unsupported operation / unrecognised syntax]</w:t>
      </w:r>
    </w:p>
    <w:p>
      <w:pPr>
        <w:pStyle w:val="CodeBlock"/>
      </w:pPr>
      <w:r>
        <w:rPr>
          <w:rFonts w:ascii="Consolas" w:cs="Consolas" w:eastAsia="Consolas" w:hAnsi="Consolas"/>
          <w:sz w:val="20"/>
          <w:szCs w:val="20"/>
        </w:rPr>
        <w:t xml:space="preserve">Nearest available alternatives: [list up to 3 related operators]</w:t>
      </w:r>
    </w:p>
    <w:p>
      <w:pPr>
        <w:pBdr>
          <w:top w:val="none" w:color="FFFFFF" w:sz="0"/>
          <w:bottom w:val="single" w:color="CCCCCC" w:sz="4"/>
          <w:left w:val="none" w:color="FFFFFF" w:sz="0"/>
          <w:right w:val="none" w:color="FFFFFF" w:sz="0"/>
        </w:pBdr>
        <w:spacing w:after="160" w:before="160"/>
      </w:pPr>
      <w:r>
        <w:t xml:space="preserve"/>
      </w:r>
    </w:p>
    <w:p>
      <w:pPr>
        <w:pStyle w:val="Heading1"/>
      </w:pPr>
      <w:bookmarkStart w:name="sec-logging" w:id="1"/>
      <w:r>
        <w:rPr>
          <w:rFonts w:ascii="Calibri(Headings)" w:cs="Calibri(Headings)" w:eastAsia="Calibri(Headings)" w:hAnsi="Calibri(Headings)"/>
          <w:b/>
          <w:bCs/>
          <w:color w:val="4F81BD"/>
          <w:sz w:val="32"/>
          <w:szCs w:val="32"/>
        </w:rPr>
        <w:t xml:space="preserve">9.  Logging &amp; Continuous Improvement</w:t>
      </w:r>
      <w:bookmarkEnd w:id="1"/>
    </w:p>
    <w:p>
      <w:pPr>
        <w:spacing w:after="120" w:before="80"/>
      </w:pPr>
      <w:r>
        <w:rPr>
          <w:rFonts w:ascii="Cambria" w:cs="Cambria" w:eastAsia="Cambria" w:hAnsi="Cambria"/>
          <w:sz w:val="24"/>
          <w:szCs w:val="24"/>
        </w:rPr>
        <w:t xml:space="preserve">Every disambiguation decision must be logged in a structured format. Logs serve two purposes: immediate debugging and long-term catalog improvement.</w:t>
      </w:r>
    </w:p>
    <w:p>
      <w:pPr>
        <w:pStyle w:val="Heading2"/>
      </w:pPr>
      <w:r>
        <w:rPr>
          <w:rFonts w:ascii="Calibri(Headings)" w:cs="Calibri(Headings)" w:eastAsia="Calibri(Headings)" w:hAnsi="Calibri(Headings)"/>
          <w:b/>
          <w:bCs/>
          <w:color w:val="2E75B6"/>
          <w:sz w:val="26"/>
          <w:szCs w:val="26"/>
        </w:rPr>
        <w:t xml:space="preserve">9.1  Required Log Fields</w:t>
      </w:r>
    </w:p>
    <w:p>
      <w:pPr>
        <w:pStyle w:val="CodeBlock"/>
      </w:pPr>
      <w:r>
        <w:rPr>
          <w:rFonts w:ascii="Consolas" w:cs="Consolas" w:eastAsia="Consolas" w:hAnsi="Consolas"/>
          <w:sz w:val="20"/>
          <w:szCs w:val="20"/>
        </w:rPr>
        <w:t xml:space="preserve">timestamp:          ISO 8601</w:t>
      </w:r>
    </w:p>
    <w:p>
      <w:pPr>
        <w:pStyle w:val="CodeBlock"/>
      </w:pPr>
      <w:r>
        <w:rPr>
          <w:rFonts w:ascii="Consolas" w:cs="Consolas" w:eastAsia="Consolas" w:hAnsi="Consolas"/>
          <w:sz w:val="20"/>
          <w:szCs w:val="20"/>
        </w:rPr>
        <w:t xml:space="preserve">raw_input:          Original user instruction (verbatim)</w:t>
      </w:r>
    </w:p>
    <w:p>
      <w:pPr>
        <w:pStyle w:val="CodeBlock"/>
      </w:pPr>
      <w:r>
        <w:rPr>
          <w:rFonts w:ascii="Consolas" w:cs="Consolas" w:eastAsia="Consolas" w:hAnsi="Consolas"/>
          <w:sz w:val="20"/>
          <w:szCs w:val="20"/>
        </w:rPr>
        <w:t xml:space="preserve">operator_matched:   Operator ID or NULL</w:t>
      </w:r>
    </w:p>
    <w:p>
      <w:pPr>
        <w:pStyle w:val="CodeBlock"/>
      </w:pPr>
      <w:r>
        <w:rPr>
          <w:rFonts w:ascii="Consolas" w:cs="Consolas" w:eastAsia="Consolas" w:hAnsi="Consolas"/>
          <w:sz w:val="20"/>
          <w:szCs w:val="20"/>
        </w:rPr>
        <w:t xml:space="preserve">confidence_level:   High / Medium / Low / None</w:t>
      </w:r>
    </w:p>
    <w:p>
      <w:pPr>
        <w:pStyle w:val="CodeBlock"/>
      </w:pPr>
      <w:r>
        <w:rPr>
          <w:rFonts w:ascii="Consolas" w:cs="Consolas" w:eastAsia="Consolas" w:hAnsi="Consolas"/>
          <w:sz w:val="20"/>
          <w:szCs w:val="20"/>
        </w:rPr>
        <w:t xml:space="preserve">selector_source:    Explicit / Inferred / Asked / N/A</w:t>
      </w:r>
    </w:p>
    <w:p>
      <w:pPr>
        <w:pStyle w:val="CodeBlock"/>
      </w:pPr>
      <w:r>
        <w:rPr>
          <w:rFonts w:ascii="Consolas" w:cs="Consolas" w:eastAsia="Consolas" w:hAnsi="Consolas"/>
          <w:sz w:val="20"/>
          <w:szCs w:val="20"/>
        </w:rPr>
        <w:t xml:space="preserve">function_called:    XyzPilot function name or NULL</w:t>
      </w:r>
    </w:p>
    <w:p>
      <w:pPr>
        <w:pStyle w:val="CodeBlock"/>
      </w:pPr>
      <w:r>
        <w:rPr>
          <w:rFonts w:ascii="Consolas" w:cs="Consolas" w:eastAsia="Consolas" w:hAnsi="Consolas"/>
          <w:sz w:val="20"/>
          <w:szCs w:val="20"/>
        </w:rPr>
        <w:t xml:space="preserve">output_entity:      Created entity ID or NULL</w:t>
      </w:r>
    </w:p>
    <w:p>
      <w:pPr>
        <w:pStyle w:val="CodeBlock"/>
      </w:pPr>
      <w:r>
        <w:rPr>
          <w:rFonts w:ascii="Consolas" w:cs="Consolas" w:eastAsia="Consolas" w:hAnsi="Consolas"/>
          <w:sz w:val="20"/>
          <w:szCs w:val="20"/>
        </w:rPr>
        <w:t xml:space="preserve">outcome:            Accepted / Rejected / Corrected / Error</w:t>
      </w:r>
    </w:p>
    <w:p>
      <w:pPr>
        <w:pStyle w:val="CodeBlock"/>
      </w:pPr>
      <w:r>
        <w:rPr>
          <w:rFonts w:ascii="Consolas" w:cs="Consolas" w:eastAsia="Consolas" w:hAnsi="Consolas"/>
          <w:sz w:val="20"/>
          <w:szCs w:val="20"/>
        </w:rPr>
        <w:t xml:space="preserve">correction_detail:  If Corrected — what the user changed</w:t>
      </w:r>
    </w:p>
    <w:p>
      <w:pPr>
        <w:pStyle w:val="Heading2"/>
      </w:pPr>
      <w:r>
        <w:rPr>
          <w:rFonts w:ascii="Calibri(Headings)" w:cs="Calibri(Headings)" w:eastAsia="Calibri(Headings)" w:hAnsi="Calibri(Headings)"/>
          <w:b/>
          <w:bCs/>
          <w:color w:val="2E75B6"/>
          <w:sz w:val="26"/>
          <w:szCs w:val="26"/>
        </w:rPr>
        <w:t xml:space="preserve">9.2  Improvement Triggers</w:t>
      </w:r>
    </w:p>
    <w:p>
      <w:pPr>
        <w:spacing w:after="80" w:before="80"/>
      </w:pPr>
      <w:r>
        <w:rPr>
          <w:rFonts w:ascii="Cambria" w:cs="Cambria" w:eastAsia="Cambria" w:hAnsi="Cambria"/>
          <w:sz w:val="24"/>
          <w:szCs w:val="24"/>
        </w:rPr>
        <w:t xml:space="preserve">The following log patterns should trigger a catalog review:</w:t>
      </w:r>
    </w:p>
    <w:p>
      <w:pPr>
        <w:pStyle w:val="ListParagraph"/>
        <w:numPr>
          <w:ilvl w:val="0"/>
          <w:numId w:val="2"/>
        </w:numPr>
      </w:pPr>
      <w:r>
        <w:rPr>
          <w:rFonts w:ascii="Cambria" w:cs="Cambria" w:eastAsia="Cambria" w:hAnsi="Cambria"/>
          <w:sz w:val="24"/>
          <w:szCs w:val="24"/>
        </w:rPr>
        <w:t xml:space="preserve">Any operator with a Correction rate above 10% — selector definition may be unclear</w:t>
      </w:r>
    </w:p>
    <w:p>
      <w:pPr>
        <w:pStyle w:val="ListParagraph"/>
        <w:numPr>
          <w:ilvl w:val="0"/>
          <w:numId w:val="2"/>
        </w:numPr>
      </w:pPr>
      <w:r>
        <w:rPr>
          <w:rFonts w:ascii="Cambria" w:cs="Cambria" w:eastAsia="Cambria" w:hAnsi="Cambria"/>
          <w:sz w:val="24"/>
          <w:szCs w:val="24"/>
        </w:rPr>
        <w:t xml:space="preserve">Any raw_input pattern that consistently returns None — potential catalog gap</w:t>
      </w:r>
    </w:p>
    <w:p>
      <w:pPr>
        <w:pStyle w:val="ListParagraph"/>
        <w:numPr>
          <w:ilvl w:val="0"/>
          <w:numId w:val="2"/>
        </w:numPr>
      </w:pPr>
      <w:r>
        <w:rPr>
          <w:rFonts w:ascii="Cambria" w:cs="Cambria" w:eastAsia="Cambria" w:hAnsi="Cambria"/>
          <w:sz w:val="24"/>
          <w:szCs w:val="24"/>
        </w:rPr>
        <w:t xml:space="preserve">Any operator with a Rejection rate above 20% — syntax pattern may be ambiguous</w:t>
      </w:r>
    </w:p>
    <w:p>
      <w:pPr>
        <w:pStyle w:val="ListParagraph"/>
        <w:numPr>
          <w:ilvl w:val="0"/>
          <w:numId w:val="2"/>
        </w:numPr>
      </w:pPr>
      <w:r>
        <w:rPr>
          <w:rFonts w:ascii="Cambria" w:cs="Cambria" w:eastAsia="Cambria" w:hAnsi="Cambria"/>
          <w:sz w:val="24"/>
          <w:szCs w:val="24"/>
        </w:rPr>
        <w:t xml:space="preserve">Repeated identical raw_inputs with different outcomes — inconsistent agent behaviour</w:t>
      </w:r>
    </w:p>
    <w:p>
      <w:pPr>
        <w:pBdr>
          <w:top w:val="none" w:color="FFFFFF" w:sz="0"/>
          <w:bottom w:val="single" w:color="CCCCCC" w:sz="4"/>
          <w:left w:val="none" w:color="FFFFFF" w:sz="0"/>
          <w:right w:val="none" w:color="FFFFFF" w:sz="0"/>
        </w:pBdr>
        <w:spacing w:after="160" w:before="160"/>
      </w:pPr>
      <w:r>
        <w:t xml:space="preserve"/>
      </w:r>
    </w:p>
    <w:p>
      <w:pPr>
        <w:pStyle w:val="Heading1"/>
      </w:pPr>
      <w:bookmarkStart w:name="sec-implementation" w:id="1"/>
      <w:r>
        <w:rPr>
          <w:rFonts w:ascii="Calibri(Headings)" w:cs="Calibri(Headings)" w:eastAsia="Calibri(Headings)" w:hAnsi="Calibri(Headings)"/>
          <w:b/>
          <w:bCs/>
          <w:color w:val="4F81BD"/>
          <w:sz w:val="32"/>
          <w:szCs w:val="32"/>
        </w:rPr>
        <w:t xml:space="preserve">10.  Implementation Requirements</w:t>
      </w:r>
      <w:bookmarkEnd w:id="1"/>
    </w:p>
    <w:p>
      <w:pPr>
        <w:spacing w:after="120" w:before="80"/>
      </w:pPr>
      <w:r>
        <w:rPr>
          <w:rFonts w:ascii="Cambria" w:cs="Cambria" w:eastAsia="Cambria" w:hAnsi="Cambria"/>
          <w:sz w:val="24"/>
          <w:szCs w:val="24"/>
        </w:rPr>
        <w:t xml:space="preserve">The following requirements are mandatory for any implementation of this protocol. They are listed in priority order.</w:t>
      </w:r>
    </w:p>
    <w:tbl>
      <w:tblPr>
        <w:tblW w:type="auto" w:w="100"/>
        <w:tblBorders>
          <w:top w:val="none" w:color="FFFFFF" w:sz="0"/>
          <w:left w:val="none" w:color="FFFFFF" w:sz="0"/>
          <w:bottom w:val="none" w:color="FFFFFF" w:sz="0"/>
          <w:right w:val="none" w:color="FFFFFF" w:sz="0"/>
          <w:insideH w:val="single" w:color="auto" w:sz="4"/>
          <w:insideV w:val="single" w:color="auto" w:sz="4"/>
        </w:tblBorders>
        <w:tblCellMar>
          <w:top w:type="dxa" w:w="100"/>
          <w:left w:type="dxa" w:w="180"/>
          <w:bottom w:type="dxa" w:w="100"/>
          <w:right w:type="dxa" w:w="180"/>
        </w:tblCellMar>
      </w:tblPr>
      <w:tblGrid>
        <w:gridCol w:w="720"/>
        <w:gridCol w:w="1800"/>
        <w:gridCol w:w="6840"/>
      </w:tblGrid>
      <w:tr>
        <w:trPr>
          <w:tblHeader/>
        </w:trPr>
        <w:tc>
          <w:tcPr>
            <w:tcW w:type="dxa" w:w="72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Ref</w:t>
            </w:r>
          </w:p>
        </w:tc>
        <w:tc>
          <w:tcPr>
            <w:tcW w:type="dxa" w:w="180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Priority</w:t>
            </w:r>
          </w:p>
        </w:tc>
        <w:tc>
          <w:tcPr>
            <w:tcW w:type="dxa" w:w="684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Requirement</w:t>
            </w:r>
          </w:p>
        </w:tc>
      </w:tr>
      <w:tr>
        <w:tc>
          <w:tcPr>
            <w:tcW w:type="dxa" w:w="72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R1</w:t>
            </w:r>
          </w:p>
        </w:tc>
        <w:tc>
          <w:tcPr>
            <w:tcW w:type="dxa" w:w="1800"/>
            <w:tcBorders>
              <w:top w:val="none" w:color="FFFFFF" w:sz="0"/>
              <w:left w:val="none" w:color="FFFFFF" w:sz="0"/>
              <w:bottom w:val="none" w:color="FFFFFF" w:sz="0"/>
              <w:right w:val="none" w:color="FFFFFF" w:sz="0"/>
            </w:tcBorders>
          </w:tcPr>
          <w:p>
            <w:r>
              <w:rPr>
                <w:rFonts w:ascii="Cambria" w:cs="Cambria" w:eastAsia="Cambria" w:hAnsi="Cambria"/>
                <w:b/>
                <w:bCs/>
                <w:color w:val="C0392B"/>
                <w:sz w:val="22"/>
                <w:szCs w:val="22"/>
              </w:rPr>
              <w:t xml:space="preserve">MUST</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The agent MUST query the live registry before any selector resolution. Static registry snapshots are not permitted.</w:t>
            </w:r>
          </w:p>
        </w:tc>
      </w:tr>
      <w:tr>
        <w:tc>
          <w:tcPr>
            <w:tcW w:type="dxa" w:w="72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R2</w:t>
            </w:r>
          </w:p>
        </w:tc>
        <w:tc>
          <w:tcPr>
            <w:tcW w:type="dxa" w:w="1800"/>
            <w:tcBorders>
              <w:top w:val="none" w:color="FFFFFF" w:sz="0"/>
              <w:left w:val="none" w:color="FFFFFF" w:sz="0"/>
              <w:bottom w:val="none" w:color="FFFFFF" w:sz="0"/>
              <w:right w:val="none" w:color="FFFFFF" w:sz="0"/>
            </w:tcBorders>
          </w:tcPr>
          <w:p>
            <w:r>
              <w:rPr>
                <w:rFonts w:ascii="Cambria" w:cs="Cambria" w:eastAsia="Cambria" w:hAnsi="Cambria"/>
                <w:b/>
                <w:bCs/>
                <w:color w:val="C0392B"/>
                <w:sz w:val="22"/>
                <w:szCs w:val="22"/>
              </w:rPr>
              <w:t xml:space="preserve">MUST</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The agent MUST NOT execute any function call without High Confidence, or explicit user confirmation for Medium/Low Confidence.</w:t>
            </w:r>
          </w:p>
        </w:tc>
      </w:tr>
      <w:tr>
        <w:tc>
          <w:tcPr>
            <w:tcW w:type="dxa" w:w="72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R3</w:t>
            </w:r>
          </w:p>
        </w:tc>
        <w:tc>
          <w:tcPr>
            <w:tcW w:type="dxa" w:w="1800"/>
            <w:tcBorders>
              <w:top w:val="none" w:color="FFFFFF" w:sz="0"/>
              <w:left w:val="none" w:color="FFFFFF" w:sz="0"/>
              <w:bottom w:val="none" w:color="FFFFFF" w:sz="0"/>
              <w:right w:val="none" w:color="FFFFFF" w:sz="0"/>
            </w:tcBorders>
          </w:tcPr>
          <w:p>
            <w:r>
              <w:rPr>
                <w:rFonts w:ascii="Cambria" w:cs="Cambria" w:eastAsia="Cambria" w:hAnsi="Cambria"/>
                <w:b/>
                <w:bCs/>
                <w:color w:val="C0392B"/>
                <w:sz w:val="22"/>
                <w:szCs w:val="22"/>
              </w:rPr>
              <w:t xml:space="preserve">MUST</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For all two-candidate operators, the agent MUST present both candidates with coordinates before execution, regardless of context.</w:t>
            </w:r>
          </w:p>
        </w:tc>
      </w:tr>
      <w:tr>
        <w:tc>
          <w:tcPr>
            <w:tcW w:type="dxa" w:w="72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R4</w:t>
            </w:r>
          </w:p>
        </w:tc>
        <w:tc>
          <w:tcPr>
            <w:tcW w:type="dxa" w:w="1800"/>
            <w:tcBorders>
              <w:top w:val="none" w:color="FFFFFF" w:sz="0"/>
              <w:left w:val="none" w:color="FFFFFF" w:sz="0"/>
              <w:bottom w:val="none" w:color="FFFFFF" w:sz="0"/>
              <w:right w:val="none" w:color="FFFFFF" w:sz="0"/>
            </w:tcBorders>
          </w:tcPr>
          <w:p>
            <w:r>
              <w:rPr>
                <w:rFonts w:ascii="Cambria" w:cs="Cambria" w:eastAsia="Cambria" w:hAnsi="Cambria"/>
                <w:b/>
                <w:bCs/>
                <w:color w:val="C0392B"/>
                <w:sz w:val="22"/>
                <w:szCs w:val="22"/>
              </w:rPr>
              <w:t xml:space="preserve">MUST</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Every execution MUST produce a structured log entry containing all fields defined in Section 9.1.</w:t>
            </w:r>
          </w:p>
        </w:tc>
      </w:tr>
      <w:tr>
        <w:tc>
          <w:tcPr>
            <w:tcW w:type="dxa" w:w="72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R5</w:t>
            </w:r>
          </w:p>
        </w:tc>
        <w:tc>
          <w:tcPr>
            <w:tcW w:type="dxa" w:w="1800"/>
            <w:tcBorders>
              <w:top w:val="none" w:color="FFFFFF" w:sz="0"/>
              <w:left w:val="none" w:color="FFFFFF" w:sz="0"/>
              <w:bottom w:val="none" w:color="FFFFFF" w:sz="0"/>
              <w:right w:val="none" w:color="FFFFFF" w:sz="0"/>
            </w:tcBorders>
          </w:tcPr>
          <w:p>
            <w:r>
              <w:rPr>
                <w:rFonts w:ascii="Cambria" w:cs="Cambria" w:eastAsia="Cambria" w:hAnsi="Cambria"/>
                <w:b/>
                <w:bCs/>
                <w:color w:val="C0392B"/>
                <w:sz w:val="22"/>
                <w:szCs w:val="22"/>
              </w:rPr>
              <w:t xml:space="preserve">MUST</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The agent MUST return an informative error for Confidence Level None, including nearest available alternatives where possible.</w:t>
            </w:r>
          </w:p>
        </w:tc>
      </w:tr>
      <w:tr>
        <w:tc>
          <w:tcPr>
            <w:tcW w:type="dxa" w:w="72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R6</w:t>
            </w:r>
          </w:p>
        </w:tc>
        <w:tc>
          <w:tcPr>
            <w:tcW w:type="dxa" w:w="1800"/>
            <w:tcBorders>
              <w:top w:val="none" w:color="FFFFFF" w:sz="0"/>
              <w:left w:val="none" w:color="FFFFFF" w:sz="0"/>
              <w:bottom w:val="none" w:color="FFFFFF" w:sz="0"/>
              <w:right w:val="none" w:color="FFFFFF" w:sz="0"/>
            </w:tcBorders>
          </w:tcPr>
          <w:p>
            <w:r>
              <w:rPr>
                <w:rFonts w:ascii="Cambria" w:cs="Cambria" w:eastAsia="Cambria" w:hAnsi="Cambria"/>
                <w:b/>
                <w:bCs/>
                <w:color w:val="E67E22"/>
                <w:sz w:val="22"/>
                <w:szCs w:val="22"/>
              </w:rPr>
              <w:t xml:space="preserve">SHOULD</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The agent SHOULD use geometric context (entity positions, recent commands) to improve selector inference for Medium Confidence cases.</w:t>
            </w:r>
          </w:p>
        </w:tc>
      </w:tr>
      <w:tr>
        <w:tc>
          <w:tcPr>
            <w:tcW w:type="dxa" w:w="72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R7</w:t>
            </w:r>
          </w:p>
        </w:tc>
        <w:tc>
          <w:tcPr>
            <w:tcW w:type="dxa" w:w="1800"/>
            <w:tcBorders>
              <w:top w:val="none" w:color="FFFFFF" w:sz="0"/>
              <w:left w:val="none" w:color="FFFFFF" w:sz="0"/>
              <w:bottom w:val="none" w:color="FFFFFF" w:sz="0"/>
              <w:right w:val="none" w:color="FFFFFF" w:sz="0"/>
            </w:tcBorders>
          </w:tcPr>
          <w:p>
            <w:r>
              <w:rPr>
                <w:rFonts w:ascii="Cambria" w:cs="Cambria" w:eastAsia="Cambria" w:hAnsi="Cambria"/>
                <w:b/>
                <w:bCs/>
                <w:color w:val="E67E22"/>
                <w:sz w:val="22"/>
                <w:szCs w:val="22"/>
              </w:rPr>
              <w:t xml:space="preserve">SHOULD</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Log data SHOULD be reviewed monthly against the improvement triggers defined in Section 9.2.</w:t>
            </w:r>
          </w:p>
        </w:tc>
      </w:tr>
      <w:tr>
        <w:tc>
          <w:tcPr>
            <w:tcW w:type="dxa" w:w="72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R8</w:t>
            </w:r>
          </w:p>
        </w:tc>
        <w:tc>
          <w:tcPr>
            <w:tcW w:type="dxa" w:w="1800"/>
            <w:tcBorders>
              <w:top w:val="none" w:color="FFFFFF" w:sz="0"/>
              <w:left w:val="none" w:color="FFFFFF" w:sz="0"/>
              <w:bottom w:val="none" w:color="FFFFFF" w:sz="0"/>
              <w:right w:val="none" w:color="FFFFFF" w:sz="0"/>
            </w:tcBorders>
          </w:tcPr>
          <w:p>
            <w:r>
              <w:rPr>
                <w:rFonts w:ascii="Cambria" w:cs="Cambria" w:eastAsia="Cambria" w:hAnsi="Cambria"/>
                <w:b/>
                <w:bCs/>
                <w:color w:val="E67E22"/>
                <w:sz w:val="22"/>
                <w:szCs w:val="22"/>
              </w:rPr>
              <w:t xml:space="preserve">SHOULD</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The agent SHOULD support a "strict mode" in which all interactions require confirmation regardless of Confidence Level.</w:t>
            </w:r>
          </w:p>
        </w:tc>
      </w:tr>
      <w:tr>
        <w:tc>
          <w:tcPr>
            <w:tcW w:type="dxa" w:w="72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R9</w:t>
            </w:r>
          </w:p>
        </w:tc>
        <w:tc>
          <w:tcPr>
            <w:tcW w:type="dxa" w:w="1800"/>
            <w:tcBorders>
              <w:top w:val="none" w:color="FFFFFF" w:sz="0"/>
              <w:left w:val="none" w:color="FFFFFF" w:sz="0"/>
              <w:bottom w:val="none" w:color="FFFFFF" w:sz="0"/>
              <w:right w:val="none" w:color="FFFFFF" w:sz="0"/>
            </w:tcBorders>
          </w:tcPr>
          <w:p>
            <w:r>
              <w:rPr>
                <w:rFonts w:ascii="Cambria" w:cs="Cambria" w:eastAsia="Cambria" w:hAnsi="Cambria"/>
                <w:b/>
                <w:bCs/>
                <w:color w:val="27AE60"/>
                <w:sz w:val="22"/>
                <w:szCs w:val="22"/>
              </w:rPr>
              <w:t xml:space="preserve">MAY</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The agent MAY cache recent disambiguation decisions within a session to reduce repetitive confirmation prompts for identical commands.</w:t>
            </w:r>
          </w:p>
        </w:tc>
      </w:tr>
    </w:tbl>
    <w:p>
      <w:pPr>
        <w:pBdr>
          <w:top w:val="none" w:color="FFFFFF" w:sz="0"/>
          <w:bottom w:val="single" w:color="CCCCCC" w:sz="4"/>
          <w:left w:val="none" w:color="FFFFFF" w:sz="0"/>
          <w:right w:val="none" w:color="FFFFFF" w:sz="0"/>
        </w:pBdr>
        <w:spacing w:after="240" w:before="240"/>
      </w:pPr>
      <w:r>
        <w:t xml:space="preserve"/>
      </w:r>
    </w:p>
    <w:p>
      <w:pPr>
        <w:pBdr>
          <w:left w:val="single" w:color="4F81BD" w:sz="12"/>
        </w:pBdr>
        <w:spacing w:after="160" w:before="160"/>
        <w:ind w:left="720"/>
      </w:pPr>
      <w:r>
        <w:rPr>
          <w:rFonts w:ascii="Cambria" w:cs="Cambria" w:eastAsia="Cambria" w:hAnsi="Cambria"/>
          <w:i/>
          <w:iCs/>
          <w:color w:val="2E4057"/>
          <w:sz w:val="24"/>
          <w:szCs w:val="24"/>
        </w:rPr>
        <w:t xml:space="preserve">The guiding principle of this protocol is simple: </w:t>
      </w:r>
      <w:r>
        <w:rPr>
          <w:rFonts w:ascii="Cambria" w:cs="Cambria" w:eastAsia="Cambria" w:hAnsi="Cambria"/>
          <w:b/>
          <w:bCs/>
          <w:i/>
          <w:iCs/>
          <w:color w:val="1B3A5C"/>
          <w:sz w:val="24"/>
          <w:szCs w:val="24"/>
        </w:rPr>
        <w:t xml:space="preserve">never guess and execute — always ask and confirm.</w:t>
      </w:r>
      <w:r>
        <w:rPr>
          <w:rFonts w:ascii="Cambria" w:cs="Cambria" w:eastAsia="Cambria" w:hAnsi="Cambria"/>
          <w:i/>
          <w:iCs/>
          <w:color w:val="2E4057"/>
          <w:sz w:val="24"/>
          <w:szCs w:val="24"/>
        </w:rPr>
        <w:t xml:space="preserve"> A loud failure that asks a question is always preferable to a silent failure that creates wrong geometry.</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pBdr>
      <w:jc w:val="center"/>
    </w:pPr>
    <w:r>
      <w:rPr>
        <w:rFonts w:ascii="Cambria" w:cs="Cambria" w:eastAsia="Cambria" w:hAnsi="Cambria"/>
        <w:color w:val="888888"/>
        <w:sz w:val="18"/>
        <w:szCs w:val="18"/>
      </w:rPr>
      <w:t xml:space="preserve">Confidential — XyzPilot Internal Documentation  |  August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4"/>
      </w:pBdr>
      <w:jc w:val="right"/>
    </w:pPr>
    <w:r>
      <w:rPr>
        <w:rFonts w:ascii="Calibri(Headings)" w:cs="Calibri(Headings)" w:eastAsia="Calibri(Headings)" w:hAnsi="Calibri(Headings)"/>
        <w:color w:val="888888"/>
        <w:sz w:val="18"/>
        <w:szCs w:val="18"/>
      </w:rPr>
      <w:t xml:space="preserve">XyzPilot — Disambiguation Protocol  |  Technical Specification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480"/>
      </w:pPr>
    </w:lvl>
  </w:abstractNum>
  <w:abstractNum w:abstractNumId="3" w15:restartNumberingAfterBreak="0">
    <w:multiLevelType w:val="hybridMultilevel"/>
    <w:lvl w:ilvl="0" w15:tentative="1">
      <w:start w:val="1"/>
      <w:numFmt w:val="bullet"/>
      <w:lvlText w:val="◦"/>
      <w:lvlJc w:val="left"/>
      <w:pPr>
        <w:ind w:left="1080" w:hanging="480"/>
      </w:pPr>
    </w:lvl>
  </w:abstractNum>
  <w:abstractNum w:abstractNumId="4" w15:restartNumberingAfterBreak="0">
    <w:multiLevelType w:val="hybridMultilevel"/>
    <w:lvl w:ilvl="0" w15:tentative="1">
      <w:start w:val="1"/>
      <w:numFmt w:val="decimal"/>
      <w:lvlText w:val="%1."/>
      <w:lvlJc w:val="left"/>
      <w:pPr>
        <w:ind w:left="720" w:hanging="480"/>
      </w:pPr>
    </w:lvl>
  </w:abstractNum>
  <w:abstractNum w:abstractNumId="5" w15:restartNumberingAfterBreak="0">
    <w:multiLevelType w:val="hybridMultilevel"/>
    <w:lvl w:ilvl="0" w15:tentative="1">
      <w:start w:val="1"/>
      <w:numFmt w:val="decimal"/>
      <w:lvlText w:val="%1."/>
      <w:lvlJc w:val="left"/>
      <w:pPr>
        <w:ind w:left="720" w:hanging="480"/>
      </w:pPr>
    </w:lvl>
  </w:abstractNum>
  <w:abstractNum w:abstractNumId="6" w15:restartNumberingAfterBreak="0">
    <w:multiLevelType w:val="hybridMultilevel"/>
    <w:lvl w:ilvl="0" w15:tentative="1">
      <w:start w:val="1"/>
      <w:numFmt w:val="decimal"/>
      <w:lvlText w:val="%1."/>
      <w:lvlJc w:val="left"/>
      <w:pPr>
        <w:ind w:left="720" w:hanging="480"/>
      </w:pPr>
    </w:lvl>
  </w:abstractNum>
  <w:abstractNum w:abstractNumId="7" w15:restartNumberingAfterBreak="0">
    <w:multiLevelType w:val="hybridMultilevel"/>
    <w:lvl w:ilvl="0" w15:tentative="1">
      <w:start w:val="1"/>
      <w:numFmt w:val="decimal"/>
      <w:lvlText w:val="%1."/>
      <w:lvlJc w:val="left"/>
      <w:pPr>
        <w:ind w:left="720" w:hanging="480"/>
      </w:pPr>
    </w:lvl>
  </w:abstractNum>
  <w:abstractNum w:abstractNumId="8" w15:restartNumberingAfterBreak="0">
    <w:multiLevelType w:val="hybridMultilevel"/>
    <w:lvl w:ilvl="0" w15:tentative="1">
      <w:start w:val="1"/>
      <w:numFmt w:val="decimal"/>
      <w:lvlText w:val="%1."/>
      <w:lvlJc w:val="left"/>
      <w:pPr>
        <w:ind w:left="720" w:hanging="480"/>
      </w:pPr>
    </w:lvl>
  </w:abstractNum>
  <w:abstractNum w:abstractNumId="9" w15:restartNumberingAfterBreak="0">
    <w:multiLevelType w:val="hybridMultilevel"/>
    <w:lvl w:ilvl="0" w15:tentative="1">
      <w:start w:val="1"/>
      <w:numFmt w:val="decimal"/>
      <w:lvlText w:val="%1."/>
      <w:lvlJc w:val="left"/>
      <w:pPr>
        <w:ind w:left="720" w:hanging="4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cs="Cambria" w:eastAsia="Cambria" w:hAnsi="Cambria"/>
        <w:sz w:val="24"/>
        <w:szCs w:val="24"/>
      </w:rPr>
    </w:rPrDefault>
    <w:pPrDefault>
      <w:pPr>
        <w:spacing w:after="120" w:before="12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80" w:before="480"/>
      <w:jc w:val="left"/>
    </w:pPr>
    <w:rPr>
      <w:rFonts w:ascii="Calibri(Headings)" w:cs="Calibri(Headings)" w:eastAsia="Calibri(Headings)" w:hAnsi="Calibri(Headings)"/>
      <w:b/>
      <w:bCs/>
      <w:color w:val="1B3A5C"/>
      <w:sz w:val="40"/>
      <w:szCs w:val="40"/>
    </w:rPr>
  </w:style>
  <w:style w:type="paragraph" w:styleId="Heading1">
    <w:name w:val="Heading 1"/>
    <w:basedOn w:val="Normal"/>
    <w:next w:val="Normal"/>
    <w:qFormat/>
    <w:pPr>
      <w:spacing w:after="120" w:before="440"/>
    </w:pPr>
    <w:rPr>
      <w:rFonts w:ascii="Calibri(Headings)" w:cs="Calibri(Headings)" w:eastAsia="Calibri(Headings)" w:hAnsi="Calibri(Headings)"/>
      <w:b/>
      <w:bCs/>
      <w:color w:val="4F81BD"/>
      <w:sz w:val="32"/>
      <w:szCs w:val="32"/>
    </w:rPr>
  </w:style>
  <w:style w:type="paragraph" w:styleId="Heading2">
    <w:name w:val="Heading 2"/>
    <w:basedOn w:val="Normal"/>
    <w:next w:val="Normal"/>
    <w:qFormat/>
    <w:pPr>
      <w:spacing w:after="80" w:before="300"/>
    </w:pPr>
    <w:rPr>
      <w:rFonts w:ascii="Calibri(Headings)" w:cs="Calibri(Headings)" w:eastAsia="Calibri(Headings)" w:hAnsi="Calibri(Headings)"/>
      <w:b/>
      <w:bCs/>
      <w:color w:val="2E75B6"/>
      <w:sz w:val="26"/>
      <w:szCs w:val="26"/>
    </w:rPr>
  </w:style>
  <w:style w:type="paragraph" w:styleId="Heading3">
    <w:name w:val="Heading 3"/>
    <w:basedOn w:val="Normal"/>
    <w:next w:val="Normal"/>
    <w:qFormat/>
    <w:pPr>
      <w:spacing w:after="60" w:before="200"/>
    </w:pPr>
    <w:rPr>
      <w:rFonts w:ascii="Calibri(Headings)" w:cs="Calibri(Headings)" w:eastAsia="Calibri(Headings)" w:hAnsi="Calibri(Headings)"/>
      <w:b/>
      <w:bCs/>
      <w:i/>
      <w:iCs/>
      <w:color w:val="404040"/>
      <w:sz w:val="24"/>
      <w:szCs w:val="24"/>
    </w:rPr>
  </w:style>
  <w:style w:type="paragraph" w:styleId="CodeBlock">
    <w:name w:val="Code Block"/>
    <w:basedOn w:val="Normal"/>
    <w:pPr>
      <w:spacing w:after="80" w:before="80"/>
      <w:ind w:left="720"/>
    </w:pPr>
    <w:rPr>
      <w:rFonts w:ascii="Consolas" w:cs="Consolas" w:eastAsia="Consolas" w:hAnsi="Consolas"/>
      <w:color w:val="1B3A5C"/>
      <w:sz w:val="20"/>
      <w:szCs w:val="20"/>
    </w:rPr>
  </w:style>
  <w:style w:type="paragraph" w:styleId="Hyperlink">
    <w:name w:val="Hyperlink"/>
    <w:basedOn w:val="Normal"/>
    <w:rPr>
      <w:color w:val="4F81BD"/>
      <w:u w:val="single"/>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2026-08-20T08:23:35.023Z</dcterms:created>
  <dcterms:modified xsi:type="dcterms:W3CDTF">2026-08-20T08:23:35.023Z</dcterms:modified>
</cp:coreProperties>
</file>

<file path=docProps/custom.xml><?xml version="1.0" encoding="utf-8"?>
<Properties xmlns="http://schemas.openxmlformats.org/officeDocument/2006/custom-properties" xmlns:vt="http://schemas.openxmlformats.org/officeDocument/2006/docPropsVTypes"/>
</file>