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rFonts w:ascii="Calibri(Headings)" w:cs="Calibri(Headings)" w:eastAsia="Calibri(Headings)" w:hAnsi="Calibri(Headings)"/>
          <w:b/>
          <w:bCs/>
          <w:color w:val="2E4057"/>
          <w:sz w:val="40"/>
          <w:szCs w:val="40"/>
        </w:rPr>
        <w:t xml:space="preserve">XyzPilot &amp; AI Agent Architecture</w:t>
      </w:r>
    </w:p>
    <w:p>
      <w:pPr>
        <w:spacing w:after="60" w:before="0"/>
        <w:jc w:val="center"/>
      </w:pPr>
      <w:r>
        <w:rPr>
          <w:rFonts w:ascii="Calibri(Headings)" w:cs="Calibri(Headings)" w:eastAsia="Calibri(Headings)" w:hAnsi="Calibri(Headings)"/>
          <w:i/>
          <w:iCs/>
          <w:color w:val="4F81BD"/>
          <w:sz w:val="26"/>
          <w:szCs w:val="26"/>
        </w:rPr>
        <w:t xml:space="preserve">How Intelligent Agents Transform CAD Command Execution</w:t>
      </w:r>
    </w:p>
    <w:p>
      <w:pPr>
        <w:spacing w:after="480" w:before="0"/>
        <w:jc w:val="center"/>
      </w:pPr>
      <w:r>
        <w:rPr>
          <w:rFonts w:ascii="Cambria" w:cs="Cambria" w:eastAsia="Cambria" w:hAnsi="Cambria"/>
          <w:color w:val="888888"/>
          <w:sz w:val="22"/>
          <w:szCs w:val="22"/>
        </w:rPr>
        <w:t xml:space="preserve">August 2026</w:t>
      </w:r>
    </w:p>
    <w:p>
      <w:pPr>
        <w:pStyle w:val="Heading1"/>
      </w:pPr>
      <w:r>
        <w:rPr>
          <w:rFonts w:ascii="Calibri(Headings)" w:cs="Calibri(Headings)" w:eastAsia="Calibri(Headings)" w:hAnsi="Calibri(Headings)"/>
          <w:b/>
          <w:bCs/>
          <w:color w:val="4F81BD"/>
          <w:sz w:val="32"/>
          <w:szCs w:val="32"/>
        </w:rPr>
        <w:t xml:space="preserve">Table of Contents</w:t>
      </w:r>
    </w:p>
    <w:p>
      <w:pPr>
        <w:spacing w:after="40" w:before="80"/>
      </w:pPr>
      <w:hyperlink w:history="1" w:anchor="section-exec-summary">
        <w:r>
          <w:rPr>
            <w:rStyle w:val="Hyperlink"/>
            <w:sz w:val="24"/>
            <w:szCs w:val="24"/>
          </w:rPr>
          <w:t xml:space="preserve">1.  Executive Summary</w:t>
        </w:r>
      </w:hyperlink>
    </w:p>
    <w:p>
      <w:pPr>
        <w:spacing w:after="40" w:before="40"/>
      </w:pPr>
      <w:hyperlink w:history="1" w:anchor="section-two-tier">
        <w:r>
          <w:rPr>
            <w:rStyle w:val="Hyperlink"/>
            <w:sz w:val="24"/>
            <w:szCs w:val="24"/>
          </w:rPr>
          <w:t xml:space="preserve">2.  Two-Tier Entity Model</w:t>
        </w:r>
      </w:hyperlink>
    </w:p>
    <w:p>
      <w:pPr>
        <w:spacing w:after="40" w:before="40"/>
      </w:pPr>
      <w:hyperlink w:history="1" w:anchor="section-old-vs-new">
        <w:r>
          <w:rPr>
            <w:rStyle w:val="Hyperlink"/>
            <w:sz w:val="24"/>
            <w:szCs w:val="24"/>
          </w:rPr>
          <w:t xml:space="preserve">3.  The Old Model vs. The New Model</w:t>
        </w:r>
      </w:hyperlink>
    </w:p>
    <w:p>
      <w:pPr>
        <w:spacing w:after="40" w:before="40"/>
      </w:pPr>
      <w:hyperlink w:history="1" w:anchor="section-capabilities">
        <w:r>
          <w:rPr>
            <w:rStyle w:val="Hyperlink"/>
            <w:sz w:val="24"/>
            <w:szCs w:val="24"/>
          </w:rPr>
          <w:t xml:space="preserve">4.  Core Agent Capabilities</w:t>
        </w:r>
      </w:hyperlink>
    </w:p>
    <w:p>
      <w:pPr>
        <w:spacing w:after="40" w:before="40"/>
      </w:pPr>
      <w:hyperlink w:history="1" w:anchor="section-advantages">
        <w:r>
          <w:rPr>
            <w:rStyle w:val="Hyperlink"/>
            <w:sz w:val="24"/>
            <w:szCs w:val="24"/>
          </w:rPr>
          <w:t xml:space="preserve">5.  Business &amp; Technical Advantages</w:t>
        </w:r>
      </w:hyperlink>
    </w:p>
    <w:p>
      <w:pPr>
        <w:spacing w:after="40" w:before="40"/>
      </w:pPr>
      <w:hyperlink w:history="1" w:anchor="section-use-cases">
        <w:r>
          <w:rPr>
            <w:rStyle w:val="Hyperlink"/>
            <w:sz w:val="24"/>
            <w:szCs w:val="24"/>
          </w:rPr>
          <w:t xml:space="preserve">6.  Use Case Examples</w:t>
        </w:r>
      </w:hyperlink>
    </w:p>
    <w:p>
      <w:pPr>
        <w:spacing w:after="40" w:before="40"/>
      </w:pPr>
      <w:hyperlink w:history="1" w:anchor="section-roadmap">
        <w:r>
          <w:rPr>
            <w:rStyle w:val="Hyperlink"/>
            <w:sz w:val="24"/>
            <w:szCs w:val="24"/>
          </w:rPr>
          <w:t xml:space="preserve">7.  Implementation Roadmap</w:t>
        </w:r>
      </w:hyperlink>
    </w:p>
    <w:p>
      <w:pPr>
        <w:spacing w:after="40" w:before="40"/>
      </w:pPr>
      <w:hyperlink w:history="1" w:anchor="section-conclusion">
        <w:r>
          <w:rPr>
            <w:rStyle w:val="Hyperlink"/>
            <w:sz w:val="24"/>
            <w:szCs w:val="24"/>
          </w:rPr>
          <w:t xml:space="preserve">8.  Conclusion</w:t>
        </w:r>
      </w:hyperlink>
    </w:p>
    <w:p>
      <w:r>
        <w:br w:type="page"/>
      </w:r>
    </w:p>
    <w:p>
      <w:pPr>
        <w:pStyle w:val="Heading1"/>
      </w:pPr>
      <w:bookmarkStart w:name="section-exec-summary" w:id="1"/>
      <w:r>
        <w:rPr>
          <w:rFonts w:ascii="Calibri(Headings)" w:cs="Calibri(Headings)" w:eastAsia="Calibri(Headings)" w:hAnsi="Calibri(Headings)"/>
          <w:b/>
          <w:bCs/>
          <w:color w:val="4F81BD"/>
          <w:sz w:val="32"/>
          <w:szCs w:val="32"/>
        </w:rPr>
        <w:t xml:space="preserve">1.  Executive Summary</w:t>
      </w:r>
      <w:bookmarkEnd w:id="1"/>
    </w:p>
    <w:p>
      <w:pPr>
        <w:spacing w:after="120" w:before="120"/>
      </w:pPr>
      <w:r>
        <w:rPr>
          <w:rFonts w:ascii="Cambria" w:cs="Cambria" w:eastAsia="Cambria" w:hAnsi="Cambria"/>
          <w:sz w:val="24"/>
          <w:szCs w:val="24"/>
        </w:rPr>
        <w:t xml:space="preserve">XyzPilot is a precision CAD engine. Its geometry kernel — intersections, tangencies, projections, and constraint solving — is mature, tested, and correct. The question has never been whether XyzPilot can compute geometry. The question is: </w:t>
      </w:r>
      <w:r>
        <w:rPr>
          <w:rFonts w:ascii="Cambria" w:cs="Cambria" w:eastAsia="Cambria" w:hAnsi="Cambria"/>
          <w:i/>
          <w:iCs/>
          <w:sz w:val="24"/>
          <w:szCs w:val="24"/>
        </w:rPr>
        <w:t xml:space="preserve">how should users interact with it?</w:t>
      </w:r>
    </w:p>
    <w:p>
      <w:pPr>
        <w:spacing w:after="120" w:before="120"/>
      </w:pPr>
      <w:r>
        <w:rPr>
          <w:rFonts w:ascii="Cambria" w:cs="Cambria" w:eastAsia="Cambria" w:hAnsi="Cambria"/>
          <w:sz w:val="24"/>
          <w:szCs w:val="24"/>
        </w:rPr>
        <w:t xml:space="preserve">The answer is a catalog-driven AI agent architecture. Rather than teaching an AI model to perform geometry, the agent is taught to </w:t>
      </w:r>
      <w:r>
        <w:rPr>
          <w:rFonts w:ascii="Cambria" w:cs="Cambria" w:eastAsia="Cambria" w:hAnsi="Cambria"/>
          <w:b/>
          <w:bCs/>
          <w:sz w:val="24"/>
          <w:szCs w:val="24"/>
        </w:rPr>
        <w:t xml:space="preserve">translate</w:t>
      </w:r>
      <w:r>
        <w:rPr>
          <w:rFonts w:ascii="Cambria" w:cs="Cambria" w:eastAsia="Cambria" w:hAnsi="Cambria"/>
          <w:sz w:val="24"/>
          <w:szCs w:val="24"/>
        </w:rPr>
        <w:t xml:space="preserve"> natural language commands into validated function calls that XyzPilot executes natively. The geometry stays inside XyzPilot. The agent becomes a smart, reliable interface layer.</w:t>
      </w:r>
    </w:p>
    <w:p>
      <w:pPr>
        <w:spacing w:after="120" w:before="120"/>
      </w:pPr>
      <w:r>
        <w:rPr>
          <w:rFonts w:ascii="Cambria" w:cs="Cambria" w:eastAsia="Cambria" w:hAnsi="Cambria"/>
          <w:sz w:val="24"/>
          <w:szCs w:val="24"/>
        </w:rPr>
        <w:t xml:space="preserve">This document describes what that architecture looks like, what it enables, and how to implement it.</w:t>
      </w:r>
    </w:p>
    <w:p>
      <w:pPr>
        <w:pBdr>
          <w:top w:val="none" w:color="FFFFFF" w:sz="0"/>
          <w:bottom w:val="single" w:color="CCCCCC" w:sz="4"/>
          <w:left w:val="none" w:color="FFFFFF" w:sz="0"/>
          <w:right w:val="none" w:color="FFFFFF" w:sz="0"/>
        </w:pBdr>
        <w:spacing w:after="200" w:before="200"/>
      </w:pPr>
      <w:r>
        <w:t xml:space="preserve"/>
      </w:r>
    </w:p>
    <w:p>
      <w:pPr>
        <w:pBdr>
          <w:bottom w:val="single" w:color="CCCCCC" w:sz="4"/>
        </w:pBdr>
        <w:spacing w:after="200" w:before="200"/>
      </w:pPr>
      <w:r>
        <w:t xml:space="preserve"/>
      </w:r>
    </w:p>
    <w:p>
      <w:pPr>
        <w:pStyle w:val="Heading1"/>
      </w:pPr>
      <w:bookmarkStart w:name="section-two-tier" w:id="1"/>
      <w:r>
        <w:rPr>
          <w:rFonts w:ascii="Calibri(Headings)" w:cs="Calibri(Headings)" w:eastAsia="Calibri(Headings)" w:hAnsi="Calibri(Headings)"/>
          <w:b/>
          <w:bCs/>
          <w:color w:val="4F81BD"/>
          <w:sz w:val="32"/>
          <w:szCs w:val="32"/>
        </w:rPr>
        <w:t xml:space="preserve">2.  Two-Tier Entity Model</w:t>
      </w:r>
      <w:bookmarkEnd w:id="1"/>
    </w:p>
    <w:p>
      <w:pPr>
        <w:spacing w:after="120" w:before="120"/>
      </w:pPr>
      <w:r>
        <w:rPr>
          <w:rFonts w:ascii="Cambria" w:cs="Cambria" w:eastAsia="Cambria" w:hAnsi="Cambria"/>
          <w:sz w:val="24"/>
          <w:szCs w:val="24"/>
        </w:rPr>
        <w:t xml:space="preserve">XyzPilot distinguishes between two fundamentally different classes of geometry entity. This distinction is a core architectural principle that governs how the agent, the registry, and the dependency tracking system behave.</w:t>
      </w:r>
    </w:p>
    <w:tbl>
      <w:tblPr>
        <w:tblW w:type="auto" w:w="100"/>
        <w:tblBorders>
          <w:top w:val="none" w:color="FFFFFF" w:sz="0"/>
          <w:left w:val="none" w:color="FFFFFF" w:sz="0"/>
          <w:bottom w:val="none" w:color="FFFFFF" w:sz="0"/>
          <w:right w:val="none" w:color="FFFFFF" w:sz="0"/>
          <w:insideH w:val="single" w:color="auto" w:sz="4"/>
          <w:insideV w:val="single" w:color="auto" w:sz="4"/>
        </w:tblBorders>
        <w:tblCellMar>
          <w:top w:type="dxa" w:w="100"/>
          <w:left w:type="dxa" w:w="180"/>
          <w:bottom w:type="dxa" w:w="100"/>
          <w:right w:type="dxa" w:w="180"/>
        </w:tblCellMar>
      </w:tblPr>
      <w:tblGrid>
        <w:gridCol w:w="1800"/>
        <w:gridCol w:w="2880"/>
        <w:gridCol w:w="2160"/>
        <w:gridCol w:w="2520"/>
      </w:tblGrid>
      <w:tr>
        <w:trPr>
          <w:tblHeader/>
        </w:trPr>
        <w:tc>
          <w:tcPr>
            <w:tcW w:type="dxa" w:w="180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Tier</w:t>
            </w:r>
          </w:p>
        </w:tc>
        <w:tc>
          <w:tcPr>
            <w:tcW w:type="dxa" w:w="288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Entity Types</w:t>
            </w:r>
          </w:p>
        </w:tc>
        <w:tc>
          <w:tcPr>
            <w:tcW w:type="dxa" w:w="216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Persistence</w:t>
            </w:r>
          </w:p>
        </w:tc>
        <w:tc>
          <w:tcPr>
            <w:tcW w:type="dxa" w:w="252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Dependency Tracking</w:t>
            </w:r>
          </w:p>
        </w:tc>
      </w:tr>
      <w:tr>
        <w:tc>
          <w:tcPr>
            <w:tcW w:type="dxa" w:w="1800"/>
            <w:tcBorders>
              <w:top w:val="none" w:color="FFFFFF" w:sz="0"/>
              <w:left w:val="none" w:color="FFFFFF" w:sz="0"/>
              <w:bottom w:val="none" w:color="FFFFFF" w:sz="0"/>
              <w:right w:val="none" w:color="FFFFFF" w:sz="0"/>
            </w:tcBorders>
          </w:tcPr>
          <w:p>
            <w:r>
              <w:rPr>
                <w:rFonts w:ascii="Cambria" w:cs="Cambria" w:eastAsia="Cambria" w:hAnsi="Cambria"/>
                <w:b/>
                <w:bCs/>
                <w:color w:val="E67E22"/>
                <w:sz w:val="22"/>
                <w:szCs w:val="22"/>
              </w:rPr>
              <w:t xml:space="preserve">Construction Tier</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Points</w:t>
            </w:r>
          </w:p>
        </w:tc>
        <w:tc>
          <w:tcPr>
            <w:tcW w:type="dxa" w:w="216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Disposable — may be deleted at any time</w:t>
            </w:r>
          </w:p>
        </w:tc>
        <w:tc>
          <w:tcPr>
            <w:tcW w:type="dxa" w:w="252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Not tracked — deletion never invalidates downstream geometry</w:t>
            </w:r>
          </w:p>
        </w:tc>
      </w:tr>
      <w:tr>
        <w:tc>
          <w:tcPr>
            <w:tcW w:type="dxa" w:w="1800"/>
            <w:tcBorders>
              <w:top w:val="none" w:color="FFFFFF" w:sz="0"/>
              <w:left w:val="none" w:color="FFFFFF" w:sz="0"/>
              <w:bottom w:val="none" w:color="FFFFFF" w:sz="0"/>
              <w:right w:val="none" w:color="FFFFFF" w:sz="0"/>
            </w:tcBorders>
          </w:tcPr>
          <w:p>
            <w:r>
              <w:rPr>
                <w:rFonts w:ascii="Cambria" w:cs="Cambria" w:eastAsia="Cambria" w:hAnsi="Cambria"/>
                <w:b/>
                <w:bCs/>
                <w:color w:val="27AE60"/>
                <w:sz w:val="22"/>
                <w:szCs w:val="22"/>
              </w:rPr>
              <w:t xml:space="preserve">Product Tier</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Lines, Arcs, Circles, Toolpaths</w:t>
            </w:r>
          </w:p>
        </w:tc>
        <w:tc>
          <w:tcPr>
            <w:tcW w:type="dxa" w:w="216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Persistent — baked geometry, permanent output</w:t>
            </w:r>
          </w:p>
        </w:tc>
        <w:tc>
          <w:tcPr>
            <w:tcW w:type="dxa" w:w="252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Tracked — modifications propagate to downstream dependents</w:t>
            </w:r>
          </w:p>
        </w:tc>
      </w:tr>
    </w:tbl>
    <w:p>
      <w:pPr>
        <w:spacing w:after="120" w:before="200"/>
      </w:pPr>
      <w:r>
        <w:rPr>
          <w:rFonts w:ascii="Cambria" w:cs="Cambria" w:eastAsia="Cambria" w:hAnsi="Cambria"/>
          <w:sz w:val="24"/>
          <w:szCs w:val="24"/>
        </w:rPr>
        <w:t xml:space="preserve">The formal rule is:</w:t>
      </w:r>
    </w:p>
    <w:p>
      <w:pPr>
        <w:pBdr>
          <w:left w:val="single" w:color="4F81BD" w:sz="12"/>
        </w:pBdr>
        <w:spacing w:after="80" w:before="80"/>
        <w:ind w:left="720"/>
      </w:pPr>
      <w:r>
        <w:rPr>
          <w:rFonts w:ascii="Cambria" w:cs="Cambria" w:eastAsia="Cambria" w:hAnsi="Cambria"/>
          <w:b/>
          <w:bCs/>
          <w:i/>
          <w:iCs/>
          <w:color w:val="1B3A5C"/>
          <w:sz w:val="24"/>
          <w:szCs w:val="24"/>
        </w:rPr>
        <w:t xml:space="preserve">"Points are non-persistent construction entities. Toolpaths are the only contract."</w:t>
      </w:r>
    </w:p>
    <w:p>
      <w:pPr>
        <w:spacing w:after="80" w:before="120"/>
      </w:pPr>
      <w:r>
        <w:rPr>
          <w:rFonts w:ascii="Cambria" w:cs="Cambria" w:eastAsia="Cambria" w:hAnsi="Cambria"/>
          <w:sz w:val="24"/>
          <w:szCs w:val="24"/>
        </w:rPr>
        <w:t xml:space="preserve">What this means in practice:</w:t>
      </w:r>
    </w:p>
    <w:p>
      <w:pPr>
        <w:pStyle w:val="ListParagraph"/>
        <w:numPr>
          <w:ilvl w:val="0"/>
          <w:numId w:val="2"/>
        </w:numPr>
      </w:pPr>
      <w:r>
        <w:rPr>
          <w:rFonts w:ascii="Cambria" w:cs="Cambria" w:eastAsia="Cambria" w:hAnsi="Cambria"/>
          <w:sz w:val="24"/>
          <w:szCs w:val="24"/>
        </w:rPr>
        <w:t xml:space="preserve">Points are construction aids — they are used to define lines, arcs, and toolpaths, then discarded</w:t>
      </w:r>
    </w:p>
    <w:p>
      <w:pPr>
        <w:pStyle w:val="ListParagraph"/>
        <w:numPr>
          <w:ilvl w:val="0"/>
          <w:numId w:val="2"/>
        </w:numPr>
      </w:pPr>
      <w:r>
        <w:rPr>
          <w:rFonts w:ascii="Cambria" w:cs="Cambria" w:eastAsia="Cambria" w:hAnsi="Cambria"/>
          <w:sz w:val="24"/>
          <w:szCs w:val="24"/>
        </w:rPr>
        <w:t xml:space="preserve">Once a line or arc is built from points, its geometry is baked — stored as a fixed numerical result, not as a live reference to the points used to create it</w:t>
      </w:r>
    </w:p>
    <w:p>
      <w:pPr>
        <w:pStyle w:val="ListParagraph"/>
        <w:numPr>
          <w:ilvl w:val="0"/>
          <w:numId w:val="2"/>
        </w:numPr>
      </w:pPr>
      <w:r>
        <w:rPr>
          <w:rFonts w:ascii="Cambria" w:cs="Cambria" w:eastAsia="Cambria" w:hAnsi="Cambria"/>
          <w:sz w:val="24"/>
          <w:szCs w:val="24"/>
        </w:rPr>
        <w:t xml:space="preserve">Deleting a point after the product geometry is created has no downstream effect — the baked geometry is unchanged</w:t>
      </w:r>
    </w:p>
    <w:p>
      <w:pPr>
        <w:pStyle w:val="ListParagraph"/>
        <w:numPr>
          <w:ilvl w:val="0"/>
          <w:numId w:val="2"/>
        </w:numPr>
      </w:pPr>
      <w:r>
        <w:rPr>
          <w:rFonts w:ascii="Cambria" w:cs="Cambria" w:eastAsia="Cambria" w:hAnsi="Cambria"/>
          <w:sz w:val="24"/>
          <w:szCs w:val="24"/>
        </w:rPr>
        <w:t xml:space="preserve">The dependency graph (XYZ-SPEC-004) applies only to product-tier entities — modifications to lines, arcs, and toolpaths propagate to their downstream dependents; point deletion never triggers propagation</w:t>
      </w:r>
    </w:p>
    <w:p>
      <w:pPr>
        <w:pStyle w:val="ListParagraph"/>
        <w:numPr>
          <w:ilvl w:val="0"/>
          <w:numId w:val="2"/>
        </w:numPr>
      </w:pPr>
      <w:r>
        <w:rPr>
          <w:rFonts w:ascii="Cambria" w:cs="Cambria" w:eastAsia="Cambria" w:hAnsi="Cambria"/>
          <w:sz w:val="24"/>
          <w:szCs w:val="24"/>
        </w:rPr>
        <w:t xml:space="preserve">The kernel's contract is: baked entities are numerically valid, operators are deterministic, and no broken or ambiguous geometry enters the toolpath</w:t>
      </w:r>
    </w:p>
    <w:p>
      <w:pPr>
        <w:spacing w:after="80" w:before="120"/>
      </w:pPr>
      <w:r>
        <w:rPr>
          <w:rFonts w:ascii="Cambria" w:cs="Cambria" w:eastAsia="Cambria" w:hAnsi="Cambria"/>
          <w:sz w:val="24"/>
          <w:szCs w:val="24"/>
        </w:rPr>
        <w:t xml:space="preserve">This two-tier model is the foundational constraint referenced by all downstream specifications in the XyzPilot series (XYZ-SPEC-002 through XYZ-SPEC-005). It defines the scope of dependency tracking, the behaviour of the registry, and the limits of the propagation protocol.</w:t>
      </w:r>
    </w:p>
    <w:p>
      <w:pPr>
        <w:pBdr>
          <w:bottom w:val="single" w:color="CCCCCC" w:sz="4"/>
        </w:pBdr>
        <w:spacing w:after="200" w:before="200"/>
      </w:pPr>
      <w:r>
        <w:t xml:space="preserve"/>
      </w:r>
    </w:p>
    <w:p>
      <w:pPr>
        <w:pStyle w:val="Heading1"/>
      </w:pPr>
      <w:bookmarkStart w:name="section-old-vs-new" w:id="1"/>
      <w:r>
        <w:rPr>
          <w:rFonts w:ascii="Calibri(Headings)" w:cs="Calibri(Headings)" w:eastAsia="Calibri(Headings)" w:hAnsi="Calibri(Headings)"/>
          <w:b/>
          <w:bCs/>
          <w:color w:val="4F81BD"/>
          <w:sz w:val="32"/>
          <w:szCs w:val="32"/>
        </w:rPr>
        <w:t xml:space="preserve">3.  The Old Model vs. The New Model</w:t>
      </w:r>
      <w:bookmarkEnd w:id="1"/>
    </w:p>
    <w:p>
      <w:pPr>
        <w:spacing w:after="120" w:before="120"/>
      </w:pPr>
      <w:r>
        <w:rPr>
          <w:rFonts w:ascii="Cambria" w:cs="Cambria" w:eastAsia="Cambria" w:hAnsi="Cambria"/>
          <w:sz w:val="24"/>
          <w:szCs w:val="24"/>
        </w:rPr>
        <w:t xml:space="preserve">Understanding the shift requires a clear picture of what changes — and what does not.</w:t>
      </w:r>
    </w:p>
    <w:tbl>
      <w:tblPr>
        <w:tblW w:type="auto" w:w="100"/>
        <w:tblBorders>
          <w:top w:val="none" w:color="FFFFFF" w:sz="0"/>
          <w:left w:val="none" w:color="FFFFFF" w:sz="0"/>
          <w:bottom w:val="none" w:color="FFFFFF" w:sz="0"/>
          <w:right w:val="none" w:color="FFFFFF" w:sz="0"/>
          <w:insideH w:val="single" w:color="auto" w:sz="4"/>
          <w:insideV w:val="single" w:color="auto" w:sz="4"/>
        </w:tblBorders>
        <w:tblCellMar>
          <w:top w:type="dxa" w:w="120"/>
          <w:left w:type="dxa" w:w="180"/>
          <w:bottom w:type="dxa" w:w="120"/>
          <w:right w:type="dxa" w:w="180"/>
        </w:tblCellMar>
      </w:tblPr>
      <w:tblGrid>
        <w:gridCol w:w="4680"/>
        <w:gridCol w:w="4680"/>
      </w:tblGrid>
      <w:tr>
        <w:trPr>
          <w:tblHeader/>
        </w:trPr>
        <w:tc>
          <w:tcPr>
            <w:tcW w:type="dxa" w:w="4680"/>
            <w:tcBorders>
              <w:top w:val="none" w:color="FFFFFF" w:sz="0"/>
              <w:left w:val="none" w:color="FFFFFF" w:sz="0"/>
              <w:bottom w:val="single" w:color="4F81BD" w:sz="6"/>
              <w:right w:val="none" w:color="FFFFFF" w:sz="0"/>
            </w:tcBorders>
          </w:tcPr>
          <w:p>
            <w:pPr>
              <w:jc w:val="center"/>
            </w:pPr>
            <w:r>
              <w:rPr>
                <w:rFonts w:ascii="Calibri(Headings)" w:cs="Calibri(Headings)" w:eastAsia="Calibri(Headings)" w:hAnsi="Calibri(Headings)"/>
                <w:b/>
                <w:bCs/>
                <w:color w:val="C0392B"/>
                <w:sz w:val="24"/>
                <w:szCs w:val="24"/>
              </w:rPr>
              <w:t xml:space="preserve">Old Model — Agent as CAD Engine</w:t>
            </w:r>
          </w:p>
        </w:tc>
        <w:tc>
          <w:tcPr>
            <w:tcW w:type="dxa" w:w="4680"/>
            <w:tcBorders>
              <w:top w:val="none" w:color="FFFFFF" w:sz="0"/>
              <w:left w:val="none" w:color="FFFFFF" w:sz="0"/>
              <w:bottom w:val="single" w:color="4F81BD" w:sz="6"/>
              <w:right w:val="none" w:color="FFFFFF" w:sz="0"/>
            </w:tcBorders>
          </w:tcPr>
          <w:p>
            <w:pPr>
              <w:jc w:val="center"/>
            </w:pPr>
            <w:r>
              <w:rPr>
                <w:rFonts w:ascii="Calibri(Headings)" w:cs="Calibri(Headings)" w:eastAsia="Calibri(Headings)" w:hAnsi="Calibri(Headings)"/>
                <w:b/>
                <w:bCs/>
                <w:color w:val="27AE60"/>
                <w:sz w:val="24"/>
                <w:szCs w:val="24"/>
              </w:rPr>
              <w:t xml:space="preserve">New Model — Agent as Translator</w:t>
            </w:r>
          </w:p>
        </w:tc>
      </w:tr>
      <w:tr>
        <w:tc>
          <w:tcPr>
            <w:tcW w:type="dxa" w:w="46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Agent computes geometry internally</w:t>
            </w:r>
          </w:p>
        </w:tc>
        <w:tc>
          <w:tcPr>
            <w:tcW w:type="dxa" w:w="46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Agent calls XyzPilot functions</w:t>
            </w:r>
          </w:p>
        </w:tc>
      </w:tr>
      <w:tr>
        <w:tc>
          <w:tcPr>
            <w:tcW w:type="dxa" w:w="46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Geometry logic duplicated in AI layer</w:t>
            </w:r>
          </w:p>
        </w:tc>
        <w:tc>
          <w:tcPr>
            <w:tcW w:type="dxa" w:w="46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Geometry stays entirely in XyzPilot</w:t>
            </w:r>
          </w:p>
        </w:tc>
      </w:tr>
      <w:tr>
        <w:tc>
          <w:tcPr>
            <w:tcW w:type="dxa" w:w="46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Errors are silent and hard to trace</w:t>
            </w:r>
          </w:p>
        </w:tc>
        <w:tc>
          <w:tcPr>
            <w:tcW w:type="dxa" w:w="46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Errors are caught at validation stage</w:t>
            </w:r>
          </w:p>
        </w:tc>
      </w:tr>
      <w:tr>
        <w:tc>
          <w:tcPr>
            <w:tcW w:type="dxa" w:w="46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Difficult to extend or maintain</w:t>
            </w:r>
          </w:p>
        </w:tc>
        <w:tc>
          <w:tcPr>
            <w:tcW w:type="dxa" w:w="46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New operators added to catalog only</w:t>
            </w:r>
          </w:p>
        </w:tc>
      </w:tr>
      <w:tr>
        <w:tc>
          <w:tcPr>
            <w:tcW w:type="dxa" w:w="46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One monolithic agent</w:t>
            </w:r>
          </w:p>
        </w:tc>
        <w:tc>
          <w:tcPr>
            <w:tcW w:type="dxa" w:w="46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Multiple specialized agents from one catalog</w:t>
            </w:r>
          </w:p>
        </w:tc>
      </w:tr>
    </w:tbl>
    <w:p>
      <w:pPr>
        <w:spacing w:after="120" w:before="200"/>
      </w:pPr>
      <w:r>
        <w:rPr>
          <w:rFonts w:ascii="Cambria" w:cs="Cambria" w:eastAsia="Cambria" w:hAnsi="Cambria"/>
          <w:sz w:val="24"/>
          <w:szCs w:val="24"/>
        </w:rPr>
        <w:t xml:space="preserve">The key insight is that the agent does not need to understand trigonometry. It needs to understand </w:t>
      </w:r>
      <w:r>
        <w:rPr>
          <w:rFonts w:ascii="Cambria" w:cs="Cambria" w:eastAsia="Cambria" w:hAnsi="Cambria"/>
          <w:i/>
          <w:iCs/>
          <w:sz w:val="24"/>
          <w:szCs w:val="24"/>
        </w:rPr>
        <w:t xml:space="preserve">intent</w:t>
      </w:r>
      <w:r>
        <w:rPr>
          <w:rFonts w:ascii="Cambria" w:cs="Cambria" w:eastAsia="Cambria" w:hAnsi="Cambria"/>
          <w:sz w:val="24"/>
          <w:szCs w:val="24"/>
        </w:rPr>
        <w:t xml:space="preserve">, validate inputs, and route the command to the correct XyzPilot function. The function does the rest.</w:t>
      </w:r>
    </w:p>
    <w:p>
      <w:pPr>
        <w:pBdr>
          <w:top w:val="none" w:color="FFFFFF" w:sz="0"/>
          <w:bottom w:val="single" w:color="CCCCCC" w:sz="4"/>
          <w:left w:val="none" w:color="FFFFFF" w:sz="0"/>
          <w:right w:val="none" w:color="FFFFFF" w:sz="0"/>
        </w:pBdr>
        <w:spacing w:after="200" w:before="200"/>
      </w:pPr>
      <w:r>
        <w:t xml:space="preserve"/>
      </w:r>
    </w:p>
    <w:p>
      <w:pPr>
        <w:pStyle w:val="Heading1"/>
      </w:pPr>
      <w:bookmarkStart w:name="section-capabilities" w:id="1"/>
      <w:r>
        <w:rPr>
          <w:rFonts w:ascii="Calibri(Headings)" w:cs="Calibri(Headings)" w:eastAsia="Calibri(Headings)" w:hAnsi="Calibri(Headings)"/>
          <w:b/>
          <w:bCs/>
          <w:color w:val="4F81BD"/>
          <w:sz w:val="32"/>
          <w:szCs w:val="32"/>
        </w:rPr>
        <w:t xml:space="preserve">4.  Core Agent Capabilities</w:t>
      </w:r>
      <w:bookmarkEnd w:id="1"/>
    </w:p>
    <w:p>
      <w:pPr>
        <w:spacing w:after="120" w:before="120"/>
      </w:pPr>
      <w:r>
        <w:rPr>
          <w:rFonts w:ascii="Cambria" w:cs="Cambria" w:eastAsia="Cambria" w:hAnsi="Cambria"/>
          <w:sz w:val="24"/>
          <w:szCs w:val="24"/>
        </w:rPr>
        <w:t xml:space="preserve">The catalog-driven agent architecture unlocks eight distinct capabilities that were previously impossible or impractical.</w:t>
      </w:r>
    </w:p>
    <w:p>
      <w:pPr>
        <w:pStyle w:val="Heading2"/>
      </w:pPr>
      <w:bookmarkStart w:name="section-31" w:id="1"/>
      <w:r>
        <w:rPr>
          <w:rFonts w:ascii="Calibri(Headings)" w:cs="Calibri(Headings)" w:eastAsia="Calibri(Headings)" w:hAnsi="Calibri(Headings)"/>
          <w:b/>
          <w:bCs/>
          <w:color w:val="2E75B6"/>
          <w:sz w:val="26"/>
          <w:szCs w:val="26"/>
        </w:rPr>
        <w:t xml:space="preserve">3.1  Natural Language Command Parsing</w:t>
      </w:r>
      <w:bookmarkEnd w:id="1"/>
    </w:p>
    <w:p>
      <w:pPr>
        <w:spacing w:after="80" w:before="80"/>
      </w:pPr>
      <w:r>
        <w:rPr>
          <w:rFonts w:ascii="Cambria" w:cs="Cambria" w:eastAsia="Cambria" w:hAnsi="Cambria"/>
          <w:sz w:val="24"/>
          <w:szCs w:val="24"/>
        </w:rPr>
        <w:t xml:space="preserve">Users can issue commands in plain English. The agent parses the intent, identifies the operator from the catalog, and maps the inputs to the correct function signature. For example:</w:t>
      </w:r>
    </w:p>
    <w:p>
      <w:pPr>
        <w:pStyle w:val="CodeBlock"/>
      </w:pPr>
      <w:r>
        <w:rPr>
          <w:rFonts w:ascii="Consolas" w:cs="Consolas" w:eastAsia="Consolas" w:hAnsi="Consolas"/>
          <w:color w:val="2F4F4F"/>
          <w:sz w:val="20"/>
          <w:szCs w:val="20"/>
        </w:rPr>
        <w:t xml:space="preserve">User:   "Create the YLarge intersection of L2 and C1"</w:t>
      </w:r>
    </w:p>
    <w:p>
      <w:pPr>
        <w:pStyle w:val="CodeBlock"/>
      </w:pPr>
      <w:r>
        <w:rPr>
          <w:rFonts w:ascii="Consolas" w:cs="Consolas" w:eastAsia="Consolas" w:hAnsi="Consolas"/>
          <w:color w:val="2F4F4F"/>
          <w:sz w:val="20"/>
          <w:szCs w:val="20"/>
        </w:rPr>
        <w:t xml:space="preserve">Agent:  POINT_DIR_INTOF_LX_CX → Point_LineCircleIntersection(L2, C1) → Select YLarge → Create P5</w:t>
      </w:r>
    </w:p>
    <w:p>
      <w:pPr>
        <w:spacing w:after="120" w:before="80"/>
      </w:pPr>
      <w:r>
        <w:rPr>
          <w:rFonts w:ascii="Cambria" w:cs="Cambria" w:eastAsia="Cambria" w:hAnsi="Cambria"/>
          <w:sz w:val="24"/>
          <w:szCs w:val="24"/>
        </w:rPr>
        <w:t xml:space="preserve">The agent becomes a translator. The geometry remains entirely inside XyzPilot.</w:t>
      </w:r>
    </w:p>
    <w:p>
      <w:pPr>
        <w:pStyle w:val="Heading2"/>
      </w:pPr>
      <w:bookmarkStart w:name="section-32" w:id="1"/>
      <w:r>
        <w:rPr>
          <w:rFonts w:ascii="Calibri(Headings)" w:cs="Calibri(Headings)" w:eastAsia="Calibri(Headings)" w:hAnsi="Calibri(Headings)"/>
          <w:b/>
          <w:bCs/>
          <w:color w:val="2E75B6"/>
          <w:sz w:val="26"/>
          <w:szCs w:val="26"/>
        </w:rPr>
        <w:t xml:space="preserve">3.2  Menu Shortcut Interpretation</w:t>
      </w:r>
      <w:bookmarkEnd w:id="1"/>
    </w:p>
    <w:p>
      <w:pPr>
        <w:spacing w:after="80" w:before="80"/>
      </w:pPr>
      <w:r>
        <w:rPr>
          <w:rFonts w:ascii="Cambria" w:cs="Cambria" w:eastAsia="Cambria" w:hAnsi="Cambria"/>
          <w:sz w:val="24"/>
          <w:szCs w:val="24"/>
        </w:rPr>
        <w:t xml:space="preserve">Quick-input shortcuts become machine-readable. Because the catalog defines the field order for every operator, the agent can decode abbreviated inputs without ambiguity:</w:t>
      </w:r>
    </w:p>
    <w:p>
      <w:pPr>
        <w:pStyle w:val="CodeBlock"/>
      </w:pPr>
      <w:r>
        <w:rPr>
          <w:rFonts w:ascii="Consolas" w:cs="Consolas" w:eastAsia="Consolas" w:hAnsi="Consolas"/>
          <w:color w:val="2F4F4F"/>
          <w:sz w:val="20"/>
          <w:szCs w:val="20"/>
        </w:rPr>
        <w:t xml:space="preserve">Input:    Point/XLarge,Intof,LX,CX</w:t>
      </w:r>
    </w:p>
    <w:p>
      <w:pPr>
        <w:pStyle w:val="CodeBlock"/>
      </w:pPr>
      <w:r>
        <w:rPr>
          <w:rFonts w:ascii="Consolas" w:cs="Consolas" w:eastAsia="Consolas" w:hAnsi="Consolas"/>
          <w:color w:val="2F4F4F"/>
          <w:sz w:val="20"/>
          <w:szCs w:val="20"/>
        </w:rPr>
        <w:t xml:space="preserve">Shortcut: XLarge,0,1  →  Point/XLarge,Intof,L0,C1</w:t>
      </w:r>
    </w:p>
    <w:p>
      <w:pPr>
        <w:spacing w:after="120" w:before="80"/>
      </w:pPr>
      <w:r>
        <w:rPr>
          <w:rFonts w:ascii="Cambria" w:cs="Cambria" w:eastAsia="Cambria" w:hAnsi="Cambria"/>
          <w:sz w:val="24"/>
          <w:szCs w:val="24"/>
        </w:rPr>
        <w:t xml:space="preserve">No guessing. No ambiguity. The catalog provides the schema; the agent applies it.</w:t>
      </w:r>
    </w:p>
    <w:p>
      <w:pPr>
        <w:pStyle w:val="Heading2"/>
      </w:pPr>
      <w:bookmarkStart w:name="section-33" w:id="1"/>
      <w:r>
        <w:rPr>
          <w:rFonts w:ascii="Calibri(Headings)" w:cs="Calibri(Headings)" w:eastAsia="Calibri(Headings)" w:hAnsi="Calibri(Headings)"/>
          <w:b/>
          <w:bCs/>
          <w:color w:val="2E75B6"/>
          <w:sz w:val="26"/>
          <w:szCs w:val="26"/>
        </w:rPr>
        <w:t xml:space="preserve">3.3  Pre-Execution Validation</w:t>
      </w:r>
      <w:bookmarkEnd w:id="1"/>
    </w:p>
    <w:p>
      <w:pPr>
        <w:spacing w:after="80" w:before="80"/>
      </w:pPr>
      <w:r>
        <w:rPr>
          <w:rFonts w:ascii="Cambria" w:cs="Cambria" w:eastAsia="Cambria" w:hAnsi="Cambria"/>
          <w:sz w:val="24"/>
          <w:szCs w:val="24"/>
        </w:rPr>
        <w:t xml:space="preserve">Before calling any XyzPilot function, the agent validates all inputs against the catalog schema:</w:t>
      </w:r>
    </w:p>
    <w:p>
      <w:pPr>
        <w:pStyle w:val="ListParagraph"/>
        <w:numPr>
          <w:ilvl w:val="0"/>
          <w:numId w:val="2"/>
        </w:numPr>
      </w:pPr>
      <w:r>
        <w:rPr>
          <w:rFonts w:ascii="Cambria" w:cs="Cambria" w:eastAsia="Cambria" w:hAnsi="Cambria"/>
          <w:sz w:val="24"/>
          <w:szCs w:val="24"/>
        </w:rPr>
        <w:t xml:space="preserve">Does the referenced geometry (L0, C1) exist in the registry?</w:t>
      </w:r>
    </w:p>
    <w:p>
      <w:pPr>
        <w:pStyle w:val="ListParagraph"/>
        <w:numPr>
          <w:ilvl w:val="0"/>
          <w:numId w:val="2"/>
        </w:numPr>
      </w:pPr>
      <w:r>
        <w:rPr>
          <w:rFonts w:ascii="Cambria" w:cs="Cambria" w:eastAsia="Cambria" w:hAnsi="Cambria"/>
          <w:sz w:val="24"/>
          <w:szCs w:val="24"/>
        </w:rPr>
        <w:t xml:space="preserve">Is the selector (XLarge, YLarge) valid for this operator?</w:t>
      </w:r>
    </w:p>
    <w:p>
      <w:pPr>
        <w:pStyle w:val="ListParagraph"/>
        <w:numPr>
          <w:ilvl w:val="0"/>
          <w:numId w:val="2"/>
        </w:numPr>
      </w:pPr>
      <w:r>
        <w:rPr>
          <w:rFonts w:ascii="Cambria" w:cs="Cambria" w:eastAsia="Cambria" w:hAnsi="Cambria"/>
          <w:sz w:val="24"/>
          <w:szCs w:val="24"/>
        </w:rPr>
        <w:t xml:space="preserve">Are all required inputs supplied?</w:t>
      </w:r>
    </w:p>
    <w:p>
      <w:pPr>
        <w:pStyle w:val="ListParagraph"/>
        <w:numPr>
          <w:ilvl w:val="0"/>
          <w:numId w:val="2"/>
        </w:numPr>
      </w:pPr>
      <w:r>
        <w:rPr>
          <w:rFonts w:ascii="Cambria" w:cs="Cambria" w:eastAsia="Cambria" w:hAnsi="Cambria"/>
          <w:sz w:val="24"/>
          <w:szCs w:val="24"/>
        </w:rPr>
        <w:t xml:space="preserve">Are input types correct (line vs. circle vs. point)?</w:t>
      </w:r>
    </w:p>
    <w:p>
      <w:pPr>
        <w:spacing w:after="120" w:before="80"/>
      </w:pPr>
      <w:r>
        <w:rPr>
          <w:rFonts w:ascii="Cambria" w:cs="Cambria" w:eastAsia="Cambria" w:hAnsi="Cambria"/>
          <w:sz w:val="24"/>
          <w:szCs w:val="24"/>
        </w:rPr>
        <w:t xml:space="preserve">Errors are surfaced before execution, not after. This eliminates silent failures and reduces debugging time significantly.</w:t>
      </w:r>
    </w:p>
    <w:p>
      <w:pPr>
        <w:pStyle w:val="Heading2"/>
      </w:pPr>
      <w:bookmarkStart w:name="section-34" w:id="1"/>
      <w:r>
        <w:rPr>
          <w:rFonts w:ascii="Calibri(Headings)" w:cs="Calibri(Headings)" w:eastAsia="Calibri(Headings)" w:hAnsi="Calibri(Headings)"/>
          <w:b/>
          <w:bCs/>
          <w:color w:val="2E75B6"/>
          <w:sz w:val="26"/>
          <w:szCs w:val="26"/>
        </w:rPr>
        <w:t xml:space="preserve">3.4  Automatic Geometry Registration</w:t>
      </w:r>
      <w:bookmarkEnd w:id="1"/>
    </w:p>
    <w:p>
      <w:pPr>
        <w:spacing w:after="80" w:before="80"/>
      </w:pPr>
      <w:r>
        <w:rPr>
          <w:rFonts w:ascii="Cambria" w:cs="Cambria" w:eastAsia="Cambria" w:hAnsi="Cambria"/>
          <w:sz w:val="24"/>
          <w:szCs w:val="24"/>
        </w:rPr>
        <w:t xml:space="preserve">When a function returns a result, the agent automatically assigns the next available ID, writes the entity to the geometry registry, and confirms creation to the user:</w:t>
      </w:r>
    </w:p>
    <w:p>
      <w:pPr>
        <w:pStyle w:val="CodeBlock"/>
      </w:pPr>
      <w:r>
        <w:rPr>
          <w:rFonts w:ascii="Consolas" w:cs="Consolas" w:eastAsia="Consolas" w:hAnsi="Consolas"/>
          <w:color w:val="2F4F4F"/>
          <w:sz w:val="20"/>
          <w:szCs w:val="20"/>
        </w:rPr>
        <w:t xml:space="preserve">Function returns → Agent assigns ID → Writes to registry → Confirms "Created P12"</w:t>
      </w:r>
    </w:p>
    <w:p>
      <w:pPr>
        <w:spacing w:after="120" w:before="80"/>
      </w:pPr>
      <w:r>
        <w:rPr>
          <w:rFonts w:ascii="Cambria" w:cs="Cambria" w:eastAsia="Cambria" w:hAnsi="Cambria"/>
          <w:sz w:val="24"/>
          <w:szCs w:val="24"/>
        </w:rPr>
        <w:t xml:space="preserve">The user never needs to manage IDs manually. The system maintains a consistent, queryable state.</w:t>
      </w:r>
    </w:p>
    <w:p>
      <w:pPr>
        <w:pBdr>
          <w:top w:val="none" w:color="FFFFFF" w:sz="0"/>
          <w:bottom w:val="single" w:color="CCCCCC" w:sz="4"/>
          <w:left w:val="none" w:color="FFFFFF" w:sz="0"/>
          <w:right w:val="none" w:color="FFFFFF" w:sz="0"/>
        </w:pBdr>
        <w:spacing w:after="200" w:before="200"/>
      </w:pPr>
      <w:r>
        <w:t xml:space="preserve"/>
      </w:r>
    </w:p>
    <w:p>
      <w:pPr>
        <w:pStyle w:val="Heading1"/>
      </w:pPr>
      <w:bookmarkStart w:name="section-advantages" w:id="1"/>
      <w:r>
        <w:rPr>
          <w:rFonts w:ascii="Calibri(Headings)" w:cs="Calibri(Headings)" w:eastAsia="Calibri(Headings)" w:hAnsi="Calibri(Headings)"/>
          <w:b/>
          <w:bCs/>
          <w:color w:val="4F81BD"/>
          <w:sz w:val="32"/>
          <w:szCs w:val="32"/>
        </w:rPr>
        <w:t xml:space="preserve">5.  Business &amp; Technical Advantages</w:t>
      </w:r>
      <w:bookmarkEnd w:id="1"/>
    </w:p>
    <w:p>
      <w:pPr>
        <w:spacing w:after="120" w:before="120"/>
      </w:pPr>
      <w:r>
        <w:rPr>
          <w:rFonts w:ascii="Cambria" w:cs="Cambria" w:eastAsia="Cambria" w:hAnsi="Cambria"/>
          <w:sz w:val="24"/>
          <w:szCs w:val="24"/>
        </w:rPr>
        <w:t xml:space="preserve">The catalog-driven architecture delivers measurable advantages across development, operations, and user experience.</w:t>
      </w:r>
    </w:p>
    <w:p>
      <w:pPr>
        <w:pStyle w:val="Heading2"/>
      </w:pPr>
      <w:r>
        <w:rPr>
          <w:rFonts w:ascii="Calibri(Headings)" w:cs="Calibri(Headings)" w:eastAsia="Calibri(Headings)" w:hAnsi="Calibri(Headings)"/>
          <w:b/>
          <w:bCs/>
          <w:color w:val="2E75B6"/>
          <w:sz w:val="26"/>
          <w:szCs w:val="26"/>
        </w:rPr>
        <w:t xml:space="preserve">4.1  Separation of Concerns</w:t>
      </w:r>
    </w:p>
    <w:p>
      <w:pPr>
        <w:spacing w:after="80" w:before="80"/>
      </w:pPr>
      <w:r>
        <w:rPr>
          <w:rFonts w:ascii="Cambria" w:cs="Cambria" w:eastAsia="Cambria" w:hAnsi="Cambria"/>
          <w:sz w:val="24"/>
          <w:szCs w:val="24"/>
        </w:rPr>
        <w:t xml:space="preserve">The single most important advantage is clean separation between the AI layer and the geometry engine. XyzPilot owns the mathematics. The agent owns the interface. Neither layer needs to understand the other's internals. This means:</w:t>
      </w:r>
    </w:p>
    <w:p>
      <w:pPr>
        <w:pStyle w:val="ListParagraph"/>
        <w:numPr>
          <w:ilvl w:val="0"/>
          <w:numId w:val="2"/>
        </w:numPr>
      </w:pPr>
      <w:r>
        <w:rPr>
          <w:rFonts w:ascii="Cambria" w:cs="Cambria" w:eastAsia="Cambria" w:hAnsi="Cambria"/>
          <w:sz w:val="24"/>
          <w:szCs w:val="24"/>
        </w:rPr>
        <w:t xml:space="preserve">XyzPilot can be updated without retraining the agent</w:t>
      </w:r>
    </w:p>
    <w:p>
      <w:pPr>
        <w:pStyle w:val="ListParagraph"/>
        <w:numPr>
          <w:ilvl w:val="0"/>
          <w:numId w:val="2"/>
        </w:numPr>
      </w:pPr>
      <w:r>
        <w:rPr>
          <w:rFonts w:ascii="Cambria" w:cs="Cambria" w:eastAsia="Cambria" w:hAnsi="Cambria"/>
          <w:sz w:val="24"/>
          <w:szCs w:val="24"/>
        </w:rPr>
        <w:t xml:space="preserve">The agent can be improved without touching the geometry kernel</w:t>
      </w:r>
    </w:p>
    <w:p>
      <w:pPr>
        <w:pStyle w:val="ListParagraph"/>
        <w:numPr>
          <w:ilvl w:val="0"/>
          <w:numId w:val="2"/>
        </w:numPr>
      </w:pPr>
      <w:r>
        <w:rPr>
          <w:rFonts w:ascii="Cambria" w:cs="Cambria" w:eastAsia="Cambria" w:hAnsi="Cambria"/>
          <w:sz w:val="24"/>
          <w:szCs w:val="24"/>
        </w:rPr>
        <w:t xml:space="preserve">Bugs in one layer do not propagate to the other</w:t>
      </w:r>
    </w:p>
    <w:p>
      <w:pPr>
        <w:pStyle w:val="Heading2"/>
      </w:pPr>
      <w:r>
        <w:rPr>
          <w:rFonts w:ascii="Calibri(Headings)" w:cs="Calibri(Headings)" w:eastAsia="Calibri(Headings)" w:hAnsi="Calibri(Headings)"/>
          <w:b/>
          <w:bCs/>
          <w:color w:val="2E75B6"/>
          <w:sz w:val="26"/>
          <w:szCs w:val="26"/>
        </w:rPr>
        <w:t xml:space="preserve">4.2  Multiple Specialized Agents from One Catalog</w:t>
      </w:r>
    </w:p>
    <w:p>
      <w:pPr>
        <w:spacing w:after="80" w:before="80"/>
      </w:pPr>
      <w:r>
        <w:rPr>
          <w:rFonts w:ascii="Cambria" w:cs="Cambria" w:eastAsia="Cambria" w:hAnsi="Cambria"/>
          <w:sz w:val="24"/>
          <w:szCs w:val="24"/>
        </w:rPr>
        <w:t xml:space="preserve">Once the operator catalog exists, it becomes the foundation for an entire ecosystem of specialized agents — all sharing the same source of truth:</w:t>
      </w:r>
    </w:p>
    <w:p>
      <w:pPr>
        <w:pStyle w:val="ListParagraph"/>
        <w:numPr>
          <w:ilvl w:val="0"/>
          <w:numId w:val="2"/>
        </w:numPr>
      </w:pPr>
      <w:r>
        <w:rPr>
          <w:rFonts w:ascii="Cambria" w:cs="Cambria" w:eastAsia="Cambria" w:hAnsi="Cambria"/>
          <w:sz w:val="24"/>
          <w:szCs w:val="24"/>
        </w:rPr>
        <w:t xml:space="preserve">Geometry Creation Agent — executes commands and builds models</w:t>
      </w:r>
    </w:p>
    <w:p>
      <w:pPr>
        <w:pStyle w:val="ListParagraph"/>
        <w:numPr>
          <w:ilvl w:val="0"/>
          <w:numId w:val="2"/>
        </w:numPr>
      </w:pPr>
      <w:r>
        <w:rPr>
          <w:rFonts w:ascii="Cambria" w:cs="Cambria" w:eastAsia="Cambria" w:hAnsi="Cambria"/>
          <w:sz w:val="24"/>
          <w:szCs w:val="24"/>
        </w:rPr>
        <w:t xml:space="preserve">Documentation Agent — generates manuals from operator metadata</w:t>
      </w:r>
    </w:p>
    <w:p>
      <w:pPr>
        <w:pStyle w:val="ListParagraph"/>
        <w:numPr>
          <w:ilvl w:val="0"/>
          <w:numId w:val="2"/>
        </w:numPr>
      </w:pPr>
      <w:r>
        <w:rPr>
          <w:rFonts w:ascii="Cambria" w:cs="Cambria" w:eastAsia="Cambria" w:hAnsi="Cambria"/>
          <w:sz w:val="24"/>
          <w:szCs w:val="24"/>
        </w:rPr>
        <w:t xml:space="preserve">Training Agent — produces worked examples using real functions</w:t>
      </w:r>
    </w:p>
    <w:p>
      <w:pPr>
        <w:pStyle w:val="ListParagraph"/>
        <w:numPr>
          <w:ilvl w:val="0"/>
          <w:numId w:val="2"/>
        </w:numPr>
      </w:pPr>
      <w:r>
        <w:rPr>
          <w:rFonts w:ascii="Cambria" w:cs="Cambria" w:eastAsia="Cambria" w:hAnsi="Cambria"/>
          <w:sz w:val="24"/>
          <w:szCs w:val="24"/>
        </w:rPr>
        <w:t xml:space="preserve">Validation Agent — checks models against design rules</w:t>
      </w:r>
    </w:p>
    <w:p>
      <w:pPr>
        <w:pStyle w:val="ListParagraph"/>
        <w:numPr>
          <w:ilvl w:val="0"/>
          <w:numId w:val="2"/>
        </w:numPr>
      </w:pPr>
      <w:r>
        <w:rPr>
          <w:rFonts w:ascii="Cambria" w:cs="Cambria" w:eastAsia="Cambria" w:hAnsi="Cambria"/>
          <w:sz w:val="24"/>
          <w:szCs w:val="24"/>
        </w:rPr>
        <w:t xml:space="preserve">Debug Agent — traces failures through the operator log</w:t>
      </w:r>
    </w:p>
    <w:p>
      <w:pPr>
        <w:spacing w:after="120" w:before="80"/>
      </w:pPr>
      <w:r>
        <w:rPr>
          <w:rFonts w:ascii="Cambria" w:cs="Cambria" w:eastAsia="Cambria" w:hAnsi="Cambria"/>
          <w:sz w:val="24"/>
          <w:szCs w:val="24"/>
        </w:rPr>
        <w:t xml:space="preserve">Each agent is purpose-built, lightweight, and reliable because it delegates all computation to XyzPilot.</w:t>
      </w:r>
    </w:p>
    <w:p>
      <w:pPr>
        <w:pStyle w:val="Heading2"/>
      </w:pPr>
      <w:r>
        <w:rPr>
          <w:rFonts w:ascii="Calibri(Headings)" w:cs="Calibri(Headings)" w:eastAsia="Calibri(Headings)" w:hAnsi="Calibri(Headings)"/>
          <w:b/>
          <w:bCs/>
          <w:color w:val="2E75B6"/>
          <w:sz w:val="26"/>
          <w:szCs w:val="26"/>
        </w:rPr>
        <w:t xml:space="preserve">4.3  Automatic Documentation Generation</w:t>
      </w:r>
    </w:p>
    <w:p>
      <w:pPr>
        <w:spacing w:after="80" w:before="80"/>
      </w:pPr>
      <w:r>
        <w:rPr>
          <w:rFonts w:ascii="Cambria" w:cs="Cambria" w:eastAsia="Cambria" w:hAnsi="Cambria"/>
          <w:sz w:val="24"/>
          <w:szCs w:val="24"/>
        </w:rPr>
        <w:t xml:space="preserve">Every operator in the catalog carries structured metadata: ID, syntax, inputs, selectors, and the mapped function. A Documentation Agent can consume this metadata directly and produce:</w:t>
      </w:r>
    </w:p>
    <w:p>
      <w:pPr>
        <w:pStyle w:val="ListParagraph"/>
        <w:numPr>
          <w:ilvl w:val="0"/>
          <w:numId w:val="2"/>
        </w:numPr>
      </w:pPr>
      <w:r>
        <w:rPr>
          <w:rFonts w:ascii="Cambria" w:cs="Cambria" w:eastAsia="Cambria" w:hAnsi="Cambria"/>
          <w:sz w:val="24"/>
          <w:szCs w:val="24"/>
        </w:rPr>
        <w:t xml:space="preserve">User manuals with correct syntax and examples</w:t>
      </w:r>
    </w:p>
    <w:p>
      <w:pPr>
        <w:pStyle w:val="ListParagraph"/>
        <w:numPr>
          <w:ilvl w:val="0"/>
          <w:numId w:val="2"/>
        </w:numPr>
      </w:pPr>
      <w:r>
        <w:rPr>
          <w:rFonts w:ascii="Cambria" w:cs="Cambria" w:eastAsia="Cambria" w:hAnsi="Cambria"/>
          <w:sz w:val="24"/>
          <w:szCs w:val="24"/>
        </w:rPr>
        <w:t xml:space="preserve">API reference documentation for developers</w:t>
      </w:r>
    </w:p>
    <w:p>
      <w:pPr>
        <w:pStyle w:val="ListParagraph"/>
        <w:numPr>
          <w:ilvl w:val="0"/>
          <w:numId w:val="2"/>
        </w:numPr>
      </w:pPr>
      <w:r>
        <w:rPr>
          <w:rFonts w:ascii="Cambria" w:cs="Cambria" w:eastAsia="Cambria" w:hAnsi="Cambria"/>
          <w:sz w:val="24"/>
          <w:szCs w:val="24"/>
        </w:rPr>
        <w:t xml:space="preserve">Training datasets for future model fine-tuning</w:t>
      </w:r>
    </w:p>
    <w:p>
      <w:pPr>
        <w:spacing w:after="120" w:before="80"/>
      </w:pPr>
      <w:r>
        <w:rPr>
          <w:rFonts w:ascii="Cambria" w:cs="Cambria" w:eastAsia="Cambria" w:hAnsi="Cambria"/>
          <w:sz w:val="24"/>
          <w:szCs w:val="24"/>
        </w:rPr>
        <w:t xml:space="preserve">Documentation is no longer a manual effort. It is a byproduct of maintaining the catalog.</w:t>
      </w:r>
    </w:p>
    <w:p>
      <w:pPr>
        <w:pStyle w:val="Heading2"/>
      </w:pPr>
      <w:r>
        <w:rPr>
          <w:rFonts w:ascii="Calibri(Headings)" w:cs="Calibri(Headings)" w:eastAsia="Calibri(Headings)" w:hAnsi="Calibri(Headings)"/>
          <w:b/>
          <w:bCs/>
          <w:color w:val="2E75B6"/>
          <w:sz w:val="26"/>
          <w:szCs w:val="26"/>
        </w:rPr>
        <w:t xml:space="preserve">4.4  Transparent, Traceable Debugging</w:t>
      </w:r>
    </w:p>
    <w:p>
      <w:pPr>
        <w:spacing w:after="80" w:before="80"/>
      </w:pPr>
      <w:r>
        <w:rPr>
          <w:rFonts w:ascii="Cambria" w:cs="Cambria" w:eastAsia="Cambria" w:hAnsi="Cambria"/>
          <w:sz w:val="24"/>
          <w:szCs w:val="24"/>
        </w:rPr>
        <w:t xml:space="preserve">Every command execution produces a structured log entry that maps the user's input to the operator, function, selector, and output. When something fails, the trace is immediate:</w:t>
      </w:r>
    </w:p>
    <w:p>
      <w:pPr>
        <w:pStyle w:val="CodeBlock"/>
      </w:pPr>
      <w:r>
        <w:rPr>
          <w:rFonts w:ascii="Consolas" w:cs="Consolas" w:eastAsia="Consolas" w:hAnsi="Consolas"/>
          <w:color w:val="2F4F4F"/>
          <w:sz w:val="20"/>
          <w:szCs w:val="20"/>
        </w:rPr>
        <w:t xml:space="preserve">Input:     Point/YLarge,Intof,L1,C1</w:t>
      </w:r>
    </w:p>
    <w:p>
      <w:pPr>
        <w:pStyle w:val="CodeBlock"/>
      </w:pPr>
      <w:r>
        <w:rPr>
          <w:rFonts w:ascii="Consolas" w:cs="Consolas" w:eastAsia="Consolas" w:hAnsi="Consolas"/>
          <w:color w:val="2F4F4F"/>
          <w:sz w:val="20"/>
          <w:szCs w:val="20"/>
        </w:rPr>
        <w:t xml:space="preserve">Operator:  POINT_DIR_INTOF_LX_CX</w:t>
      </w:r>
    </w:p>
    <w:p>
      <w:pPr>
        <w:pStyle w:val="CodeBlock"/>
      </w:pPr>
      <w:r>
        <w:rPr>
          <w:rFonts w:ascii="Consolas" w:cs="Consolas" w:eastAsia="Consolas" w:hAnsi="Consolas"/>
          <w:color w:val="2F4F4F"/>
          <w:sz w:val="20"/>
          <w:szCs w:val="20"/>
        </w:rPr>
        <w:t xml:space="preserve">Function:  Point_LineCircleIntersection</w:t>
      </w:r>
    </w:p>
    <w:p>
      <w:pPr>
        <w:pStyle w:val="CodeBlock"/>
      </w:pPr>
      <w:r>
        <w:rPr>
          <w:rFonts w:ascii="Consolas" w:cs="Consolas" w:eastAsia="Consolas" w:hAnsi="Consolas"/>
          <w:color w:val="2F4F4F"/>
          <w:sz w:val="20"/>
          <w:szCs w:val="20"/>
        </w:rPr>
        <w:t xml:space="preserve">Selector:  YLarge</w:t>
      </w:r>
    </w:p>
    <w:p>
      <w:pPr>
        <w:pStyle w:val="CodeBlock"/>
      </w:pPr>
      <w:r>
        <w:rPr>
          <w:rFonts w:ascii="Consolas" w:cs="Consolas" w:eastAsia="Consolas" w:hAnsi="Consolas"/>
          <w:color w:val="2F4F4F"/>
          <w:sz w:val="20"/>
          <w:szCs w:val="20"/>
        </w:rPr>
        <w:t xml:space="preserve">Output:    P7</w:t>
      </w:r>
    </w:p>
    <w:p>
      <w:pPr>
        <w:spacing w:after="120" w:before="80"/>
      </w:pPr>
      <w:r>
        <w:rPr>
          <w:rFonts w:ascii="Cambria" w:cs="Cambria" w:eastAsia="Cambria" w:hAnsi="Cambria"/>
          <w:sz w:val="24"/>
          <w:szCs w:val="24"/>
        </w:rPr>
        <w:t xml:space="preserve">Support teams, developers, and users can all read the same log. There is no hidden state.</w:t>
      </w:r>
    </w:p>
    <w:p>
      <w:pPr>
        <w:pStyle w:val="Heading2"/>
      </w:pPr>
      <w:r>
        <w:rPr>
          <w:rFonts w:ascii="Calibri(Headings)" w:cs="Calibri(Headings)" w:eastAsia="Calibri(Headings)" w:hAnsi="Calibri(Headings)"/>
          <w:b/>
          <w:bCs/>
          <w:color w:val="2E75B6"/>
          <w:sz w:val="26"/>
          <w:szCs w:val="26"/>
        </w:rPr>
        <w:t xml:space="preserve">4.5  Reduced Training Burden</w:t>
      </w:r>
    </w:p>
    <w:p>
      <w:pPr>
        <w:spacing w:after="120" w:before="80"/>
      </w:pPr>
      <w:r>
        <w:rPr>
          <w:rFonts w:ascii="Cambria" w:cs="Cambria" w:eastAsia="Cambria" w:hAnsi="Cambria"/>
          <w:sz w:val="24"/>
          <w:szCs w:val="24"/>
        </w:rPr>
        <w:t xml:space="preserve">The biggest practical benefit is this: </w:t>
      </w:r>
      <w:r>
        <w:rPr>
          <w:rFonts w:ascii="Cambria" w:cs="Cambria" w:eastAsia="Cambria" w:hAnsi="Cambria"/>
          <w:b/>
          <w:bCs/>
          <w:sz w:val="24"/>
          <w:szCs w:val="24"/>
        </w:rPr>
        <w:t xml:space="preserve">you only need to teach the agents the command templates and function mappings. You do not need to teach them geometry.</w:t>
      </w:r>
      <w:r>
        <w:rPr>
          <w:rFonts w:ascii="Cambria" w:cs="Cambria" w:eastAsia="Cambria" w:hAnsi="Cambria"/>
          <w:sz w:val="24"/>
          <w:szCs w:val="24"/>
        </w:rPr>
        <w:t xml:space="preserve"> This dramatically reduces the complexity of agent training, the risk of hallucinated geometry, and the cost of maintaining AI models over time.</w:t>
      </w:r>
    </w:p>
    <w:p>
      <w:pPr>
        <w:pBdr>
          <w:top w:val="none" w:color="FFFFFF" w:sz="0"/>
          <w:bottom w:val="single" w:color="CCCCCC" w:sz="4"/>
          <w:left w:val="none" w:color="FFFFFF" w:sz="0"/>
          <w:right w:val="none" w:color="FFFFFF" w:sz="0"/>
        </w:pBdr>
        <w:spacing w:after="200" w:before="200"/>
      </w:pPr>
      <w:r>
        <w:t xml:space="preserve"/>
      </w:r>
    </w:p>
    <w:p>
      <w:pPr>
        <w:pStyle w:val="Heading1"/>
      </w:pPr>
      <w:bookmarkStart w:name="section-use-cases" w:id="1"/>
      <w:r>
        <w:rPr>
          <w:rFonts w:ascii="Calibri(Headings)" w:cs="Calibri(Headings)" w:eastAsia="Calibri(Headings)" w:hAnsi="Calibri(Headings)"/>
          <w:b/>
          <w:bCs/>
          <w:color w:val="4F81BD"/>
          <w:sz w:val="32"/>
          <w:szCs w:val="32"/>
        </w:rPr>
        <w:t xml:space="preserve">6.  Use Case Examples</w:t>
      </w:r>
      <w:bookmarkEnd w:id="1"/>
    </w:p>
    <w:p>
      <w:pPr>
        <w:spacing w:after="120" w:before="120"/>
      </w:pPr>
      <w:r>
        <w:rPr>
          <w:rFonts w:ascii="Cambria" w:cs="Cambria" w:eastAsia="Cambria" w:hAnsi="Cambria"/>
          <w:sz w:val="24"/>
          <w:szCs w:val="24"/>
        </w:rPr>
        <w:t xml:space="preserve">The following examples illustrate how the agent architecture handles real-world XyzPilot workflows.</w:t>
      </w:r>
    </w:p>
    <w:tbl>
      <w:tblPr>
        <w:tblW w:type="auto" w:w="100"/>
        <w:tblBorders>
          <w:top w:val="none" w:color="FFFFFF" w:sz="0"/>
          <w:left w:val="none" w:color="FFFFFF" w:sz="0"/>
          <w:bottom w:val="none" w:color="FFFFFF" w:sz="0"/>
          <w:right w:val="none" w:color="FFFFFF" w:sz="0"/>
          <w:insideH w:val="single" w:color="auto" w:sz="4"/>
          <w:insideV w:val="single" w:color="auto" w:sz="4"/>
        </w:tblBorders>
        <w:tblCellMar>
          <w:top w:type="dxa" w:w="120"/>
          <w:left w:type="dxa" w:w="180"/>
          <w:bottom w:type="dxa" w:w="120"/>
          <w:right w:type="dxa" w:w="180"/>
        </w:tblCellMar>
      </w:tblPr>
      <w:tblGrid>
        <w:gridCol w:w="2200"/>
        <w:gridCol w:w="3560"/>
        <w:gridCol w:w="3600"/>
      </w:tblGrid>
      <w:tr>
        <w:trPr>
          <w:tblHeader/>
        </w:trPr>
        <w:tc>
          <w:tcPr>
            <w:tcW w:type="dxa" w:w="220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Scenario</w:t>
            </w:r>
          </w:p>
        </w:tc>
        <w:tc>
          <w:tcPr>
            <w:tcW w:type="dxa" w:w="356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User Input</w:t>
            </w:r>
          </w:p>
        </w:tc>
        <w:tc>
          <w:tcPr>
            <w:tcW w:type="dxa" w:w="360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Agent Action</w:t>
            </w:r>
          </w:p>
        </w:tc>
      </w:tr>
      <w:tr>
        <w:tc>
          <w:tcPr>
            <w:tcW w:type="dxa" w:w="22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Point from line/circle</w:t>
            </w:r>
          </w:p>
        </w:tc>
        <w:tc>
          <w:tcPr>
            <w:tcW w:type="dxa" w:w="3560"/>
            <w:tcBorders>
              <w:top w:val="none" w:color="FFFFFF" w:sz="0"/>
              <w:left w:val="none" w:color="FFFFFF" w:sz="0"/>
              <w:bottom w:val="none" w:color="FFFFFF" w:sz="0"/>
              <w:right w:val="none" w:color="FFFFFF" w:sz="0"/>
            </w:tcBorders>
          </w:tcPr>
          <w:p>
            <w:r>
              <w:rPr>
                <w:rFonts w:ascii="Consolas" w:cs="Consolas" w:eastAsia="Consolas" w:hAnsi="Consolas"/>
                <w:color w:val="2F4F4F"/>
                <w:sz w:val="22"/>
                <w:szCs w:val="22"/>
              </w:rPr>
              <w:t xml:space="preserve">"Create the YLarge intersection of L2 and C1"</w:t>
            </w:r>
          </w:p>
        </w:tc>
        <w:tc>
          <w:tcPr>
            <w:tcW w:type="dxa" w:w="36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Calls Point_LineCircleIntersection(L2,C1), selects YLarge candidate, creates P5</w:t>
            </w:r>
          </w:p>
        </w:tc>
      </w:tr>
      <w:tr>
        <w:tc>
          <w:tcPr>
            <w:tcW w:type="dxa" w:w="22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Circle from centre + point</w:t>
            </w:r>
          </w:p>
        </w:tc>
        <w:tc>
          <w:tcPr>
            <w:tcW w:type="dxa" w:w="3560"/>
            <w:tcBorders>
              <w:top w:val="none" w:color="FFFFFF" w:sz="0"/>
              <w:left w:val="none" w:color="FFFFFF" w:sz="0"/>
              <w:bottom w:val="none" w:color="FFFFFF" w:sz="0"/>
              <w:right w:val="none" w:color="FFFFFF" w:sz="0"/>
            </w:tcBorders>
          </w:tcPr>
          <w:p>
            <w:r>
              <w:rPr>
                <w:rFonts w:ascii="Consolas" w:cs="Consolas" w:eastAsia="Consolas" w:hAnsi="Consolas"/>
                <w:color w:val="2F4F4F"/>
                <w:sz w:val="22"/>
                <w:szCs w:val="22"/>
              </w:rPr>
              <w:t xml:space="preserve">"Circle from P1 through P2"</w:t>
            </w:r>
          </w:p>
        </w:tc>
        <w:tc>
          <w:tcPr>
            <w:tcW w:type="dxa" w:w="36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Calls Circle_FromCentreAndPoint(P1,P2), creates C4</w:t>
            </w:r>
          </w:p>
        </w:tc>
      </w:tr>
      <w:tr>
        <w:tc>
          <w:tcPr>
            <w:tcW w:type="dxa" w:w="22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Point at coordinates</w:t>
            </w:r>
          </w:p>
        </w:tc>
        <w:tc>
          <w:tcPr>
            <w:tcW w:type="dxa" w:w="3560"/>
            <w:tcBorders>
              <w:top w:val="none" w:color="FFFFFF" w:sz="0"/>
              <w:left w:val="none" w:color="FFFFFF" w:sz="0"/>
              <w:bottom w:val="none" w:color="FFFFFF" w:sz="0"/>
              <w:right w:val="none" w:color="FFFFFF" w:sz="0"/>
            </w:tcBorders>
          </w:tcPr>
          <w:p>
            <w:r>
              <w:rPr>
                <w:rFonts w:ascii="Consolas" w:cs="Consolas" w:eastAsia="Consolas" w:hAnsi="Consolas"/>
                <w:color w:val="2F4F4F"/>
                <w:sz w:val="22"/>
                <w:szCs w:val="22"/>
              </w:rPr>
              <w:t xml:space="preserve">"Point at X=50, Y=30"</w:t>
            </w:r>
          </w:p>
        </w:tc>
        <w:tc>
          <w:tcPr>
            <w:tcW w:type="dxa" w:w="36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Calls Point_XY(50,30), creates P6</w:t>
            </w:r>
          </w:p>
        </w:tc>
      </w:tr>
      <w:tr>
        <w:tc>
          <w:tcPr>
            <w:tcW w:type="dxa" w:w="22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Shortcut input</w:t>
            </w:r>
          </w:p>
        </w:tc>
        <w:tc>
          <w:tcPr>
            <w:tcW w:type="dxa" w:w="3560"/>
            <w:tcBorders>
              <w:top w:val="none" w:color="FFFFFF" w:sz="0"/>
              <w:left w:val="none" w:color="FFFFFF" w:sz="0"/>
              <w:bottom w:val="none" w:color="FFFFFF" w:sz="0"/>
              <w:right w:val="none" w:color="FFFFFF" w:sz="0"/>
            </w:tcBorders>
          </w:tcPr>
          <w:p>
            <w:r>
              <w:rPr>
                <w:rFonts w:ascii="Consolas" w:cs="Consolas" w:eastAsia="Consolas" w:hAnsi="Consolas"/>
                <w:color w:val="2F4F4F"/>
                <w:sz w:val="22"/>
                <w:szCs w:val="22"/>
              </w:rPr>
              <w:t xml:space="preserve">"XLarge,0,1"</w:t>
            </w:r>
          </w:p>
        </w:tc>
        <w:tc>
          <w:tcPr>
            <w:tcW w:type="dxa" w:w="36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Decodes to Point/XLarge,Intof,L0,C1 → executes intersection</w:t>
            </w:r>
          </w:p>
        </w:tc>
      </w:tr>
      <w:tr>
        <w:tc>
          <w:tcPr>
            <w:tcW w:type="dxa" w:w="22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Validation failure</w:t>
            </w:r>
          </w:p>
        </w:tc>
        <w:tc>
          <w:tcPr>
            <w:tcW w:type="dxa" w:w="3560"/>
            <w:tcBorders>
              <w:top w:val="none" w:color="FFFFFF" w:sz="0"/>
              <w:left w:val="none" w:color="FFFFFF" w:sz="0"/>
              <w:bottom w:val="none" w:color="FFFFFF" w:sz="0"/>
              <w:right w:val="none" w:color="FFFFFF" w:sz="0"/>
            </w:tcBorders>
          </w:tcPr>
          <w:p>
            <w:r>
              <w:rPr>
                <w:rFonts w:ascii="Consolas" w:cs="Consolas" w:eastAsia="Consolas" w:hAnsi="Consolas"/>
                <w:color w:val="2F4F4F"/>
                <w:sz w:val="22"/>
                <w:szCs w:val="22"/>
              </w:rPr>
              <w:t xml:space="preserve">"Intersect L5 and C1"</w:t>
            </w:r>
          </w:p>
        </w:tc>
        <w:tc>
          <w:tcPr>
            <w:tcW w:type="dxa" w:w="36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Validates: L5 does not exist → returns error before calling function</w:t>
            </w:r>
          </w:p>
        </w:tc>
      </w:tr>
    </w:tbl>
    <w:p>
      <w:pPr>
        <w:pBdr>
          <w:top w:val="none" w:color="FFFFFF" w:sz="0"/>
          <w:bottom w:val="single" w:color="CCCCCC" w:sz="4"/>
          <w:left w:val="none" w:color="FFFFFF" w:sz="0"/>
          <w:right w:val="none" w:color="FFFFFF" w:sz="0"/>
        </w:pBdr>
        <w:spacing w:after="200" w:before="200"/>
      </w:pPr>
      <w:r>
        <w:t xml:space="preserve"/>
      </w:r>
    </w:p>
    <w:p>
      <w:pPr>
        <w:pStyle w:val="Heading1"/>
      </w:pPr>
      <w:bookmarkStart w:name="section-roadmap" w:id="1"/>
      <w:r>
        <w:rPr>
          <w:rFonts w:ascii="Calibri(Headings)" w:cs="Calibri(Headings)" w:eastAsia="Calibri(Headings)" w:hAnsi="Calibri(Headings)"/>
          <w:b/>
          <w:bCs/>
          <w:color w:val="4F81BD"/>
          <w:sz w:val="32"/>
          <w:szCs w:val="32"/>
        </w:rPr>
        <w:t xml:space="preserve">7.  Implementation Roadmap</w:t>
      </w:r>
      <w:bookmarkEnd w:id="1"/>
    </w:p>
    <w:p>
      <w:pPr>
        <w:spacing w:after="120" w:before="120"/>
      </w:pPr>
      <w:r>
        <w:rPr>
          <w:rFonts w:ascii="Cambria" w:cs="Cambria" w:eastAsia="Cambria" w:hAnsi="Cambria"/>
          <w:sz w:val="24"/>
          <w:szCs w:val="24"/>
        </w:rPr>
        <w:t xml:space="preserve">Implementing the catalog-driven agent architecture follows a clear, phased sequence. Each phase delivers standalone value while building toward the full ecosystem.</w:t>
      </w:r>
    </w:p>
    <w:tbl>
      <w:tblPr>
        <w:tblW w:type="auto" w:w="100"/>
        <w:tblBorders>
          <w:top w:val="none" w:color="FFFFFF" w:sz="0"/>
          <w:left w:val="none" w:color="FFFFFF" w:sz="0"/>
          <w:bottom w:val="none" w:color="FFFFFF" w:sz="0"/>
          <w:right w:val="none" w:color="FFFFFF" w:sz="0"/>
          <w:insideH w:val="single" w:color="auto" w:sz="4"/>
          <w:insideV w:val="single" w:color="auto" w:sz="4"/>
        </w:tblBorders>
        <w:tblCellMar>
          <w:top w:type="dxa" w:w="120"/>
          <w:left w:type="dxa" w:w="180"/>
          <w:bottom w:type="dxa" w:w="120"/>
          <w:right w:type="dxa" w:w="180"/>
        </w:tblCellMar>
      </w:tblPr>
      <w:tblGrid>
        <w:gridCol w:w="1440"/>
        <w:gridCol w:w="2520"/>
        <w:gridCol w:w="5400"/>
      </w:tblGrid>
      <w:tr>
        <w:trPr>
          <w:tblHeader/>
        </w:trPr>
        <w:tc>
          <w:tcPr>
            <w:tcW w:type="dxa" w:w="144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Phase</w:t>
            </w:r>
          </w:p>
        </w:tc>
        <w:tc>
          <w:tcPr>
            <w:tcW w:type="dxa" w:w="252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Deliverable</w:t>
            </w:r>
          </w:p>
        </w:tc>
        <w:tc>
          <w:tcPr>
            <w:tcW w:type="dxa" w:w="540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Description</w:t>
            </w:r>
          </w:p>
        </w:tc>
      </w:tr>
      <w:tr>
        <w:tc>
          <w:tcPr>
            <w:tcW w:type="dxa" w:w="144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1</w:t>
            </w:r>
          </w:p>
        </w:tc>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Corrected Command Templates</w:t>
            </w:r>
          </w:p>
        </w:tc>
        <w:tc>
          <w:tcPr>
            <w:tcW w:type="dxa" w:w="54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Fix all operator definitions: syntax, field order, selectors, and input types. This is the foundation everything else depends on.</w:t>
            </w:r>
          </w:p>
        </w:tc>
      </w:tr>
      <w:tr>
        <w:tc>
          <w:tcPr>
            <w:tcW w:type="dxa" w:w="144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2</w:t>
            </w:r>
          </w:p>
        </w:tc>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Function Mapping Catalog</w:t>
            </w:r>
          </w:p>
        </w:tc>
        <w:tc>
          <w:tcPr>
            <w:tcW w:type="dxa" w:w="54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Build the complete catalog mapping every command template to its XyzPilot function. Include input types, selectors, and validation rules.</w:t>
            </w:r>
          </w:p>
        </w:tc>
      </w:tr>
      <w:tr>
        <w:tc>
          <w:tcPr>
            <w:tcW w:type="dxa" w:w="144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3</w:t>
            </w:r>
          </w:p>
        </w:tc>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Geometry Creation Agent</w:t>
            </w:r>
          </w:p>
        </w:tc>
        <w:tc>
          <w:tcPr>
            <w:tcW w:type="dxa" w:w="54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Deploy the first agent: natural language parsing, validation, function routing, and registry management. This is the core user-facing agent.</w:t>
            </w:r>
          </w:p>
        </w:tc>
      </w:tr>
      <w:tr>
        <w:tc>
          <w:tcPr>
            <w:tcW w:type="dxa" w:w="144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4</w:t>
            </w:r>
          </w:p>
        </w:tc>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Documentation Agent</w:t>
            </w:r>
          </w:p>
        </w:tc>
        <w:tc>
          <w:tcPr>
            <w:tcW w:type="dxa" w:w="54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Automate manual and reference generation directly from catalog metadata. Eliminates manual documentation effort.</w:t>
            </w:r>
          </w:p>
        </w:tc>
      </w:tr>
      <w:tr>
        <w:tc>
          <w:tcPr>
            <w:tcW w:type="dxa" w:w="144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5</w:t>
            </w:r>
          </w:p>
        </w:tc>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Training &amp; Debug Agents</w:t>
            </w:r>
          </w:p>
        </w:tc>
        <w:tc>
          <w:tcPr>
            <w:tcW w:type="dxa" w:w="54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Deploy specialized agents for example generation, model training data production, and structured failure tracing.</w:t>
            </w:r>
          </w:p>
        </w:tc>
      </w:tr>
    </w:tbl>
    <w:p>
      <w:pPr>
        <w:spacing w:after="120" w:before="200"/>
      </w:pPr>
      <w:r>
        <w:rPr>
          <w:rFonts w:ascii="Cambria" w:cs="Cambria" w:eastAsia="Cambria" w:hAnsi="Cambria"/>
          <w:sz w:val="24"/>
          <w:szCs w:val="24"/>
        </w:rPr>
        <w:t xml:space="preserve">Each phase is independently deployable. Phase 1 and 2 are prerequisites. Phases 3–5 can be developed in parallel once the catalog is stable.</w:t>
      </w:r>
    </w:p>
    <w:p>
      <w:pPr>
        <w:pBdr>
          <w:top w:val="none" w:color="FFFFFF" w:sz="0"/>
          <w:bottom w:val="single" w:color="CCCCCC" w:sz="4"/>
          <w:left w:val="none" w:color="FFFFFF" w:sz="0"/>
          <w:right w:val="none" w:color="FFFFFF" w:sz="0"/>
        </w:pBdr>
        <w:spacing w:after="200" w:before="200"/>
      </w:pPr>
      <w:r>
        <w:t xml:space="preserve"/>
      </w:r>
    </w:p>
    <w:p>
      <w:pPr>
        <w:pStyle w:val="Heading1"/>
      </w:pPr>
      <w:bookmarkStart w:name="section-conclusion" w:id="1"/>
      <w:r>
        <w:rPr>
          <w:rFonts w:ascii="Calibri(Headings)" w:cs="Calibri(Headings)" w:eastAsia="Calibri(Headings)" w:hAnsi="Calibri(Headings)"/>
          <w:b/>
          <w:bCs/>
          <w:color w:val="4F81BD"/>
          <w:sz w:val="32"/>
          <w:szCs w:val="32"/>
        </w:rPr>
        <w:t xml:space="preserve">8.  Conclusion</w:t>
      </w:r>
      <w:bookmarkEnd w:id="1"/>
    </w:p>
    <w:p>
      <w:pPr>
        <w:spacing w:after="120" w:before="120"/>
      </w:pPr>
      <w:r>
        <w:rPr>
          <w:rFonts w:ascii="Cambria" w:cs="Cambria" w:eastAsia="Cambria" w:hAnsi="Cambria"/>
          <w:sz w:val="24"/>
          <w:szCs w:val="24"/>
        </w:rPr>
        <w:t xml:space="preserve">The catalog-driven agent architecture is not a replacement for XyzPilot. It is an amplifier. XyzPilot's geometry engine remains the authoritative source of truth. The agent architecture makes that engine accessible, reliable, and extensible in ways that were previously out of reach.</w:t>
      </w:r>
    </w:p>
    <w:p>
      <w:pPr>
        <w:spacing w:after="120" w:before="120"/>
      </w:pPr>
      <w:r>
        <w:rPr>
          <w:rFonts w:ascii="Cambria" w:cs="Cambria" w:eastAsia="Cambria" w:hAnsi="Cambria"/>
          <w:sz w:val="24"/>
          <w:szCs w:val="24"/>
        </w:rPr>
        <w:t xml:space="preserve">The core principle is simple: </w:t>
      </w:r>
      <w:r>
        <w:rPr>
          <w:rFonts w:ascii="Cambria" w:cs="Cambria" w:eastAsia="Cambria" w:hAnsi="Cambria"/>
          <w:b/>
          <w:bCs/>
          <w:i/>
          <w:iCs/>
          <w:sz w:val="24"/>
          <w:szCs w:val="24"/>
        </w:rPr>
        <w:t xml:space="preserve">teach the agents the interface, not the mathematics.</w:t>
      </w:r>
      <w:r>
        <w:rPr>
          <w:rFonts w:ascii="Cambria" w:cs="Cambria" w:eastAsia="Cambria" w:hAnsi="Cambria"/>
          <w:sz w:val="24"/>
          <w:szCs w:val="24"/>
        </w:rPr>
        <w:t xml:space="preserve"> Once the operator catalog is complete and the function mappings are defined, every chat agent immediately becomes smarter — not because it understands geometry, but because it knows exactly which XyzPilot function to call, with which inputs, and how to validate the result.</w:t>
      </w:r>
    </w:p>
    <w:p>
      <w:pPr>
        <w:spacing w:after="120" w:before="120"/>
      </w:pPr>
      <w:r>
        <w:rPr>
          <w:rFonts w:ascii="Cambria" w:cs="Cambria" w:eastAsia="Cambria" w:hAnsi="Cambria"/>
          <w:sz w:val="24"/>
          <w:szCs w:val="24"/>
        </w:rPr>
        <w:t xml:space="preserve">The immediate next deliverable is clear: complete the corrected command templates, then build the function mapping catalog. Everything else — the agents, the documentation, the training data, the debugging tools — follows naturally from that foundation.</w:t>
      </w:r>
    </w:p>
    <w:p>
      <w:pPr>
        <w:pBdr>
          <w:left w:val="single" w:color="4F81BD" w:sz="12"/>
        </w:pBdr>
        <w:spacing w:after="240" w:before="240"/>
        <w:ind w:left="720"/>
      </w:pPr>
      <w:r>
        <w:rPr>
          <w:rFonts w:ascii="Cambria" w:cs="Cambria" w:eastAsia="Cambria" w:hAnsi="Cambria"/>
          <w:i/>
          <w:iCs/>
          <w:color w:val="4F81BD"/>
          <w:sz w:val="24"/>
          <w:szCs w:val="24"/>
        </w:rPr>
        <w:t xml:space="preserve">"The geometry remains entirely inside XyzPilot. The agent becomes a translator."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480"/>
      </w:pPr>
    </w:lvl>
  </w:abstractNum>
  <w:abstractNum w:abstractNumId="3" w15:restartNumberingAfterBreak="0">
    <w:multiLevelType w:val="hybridMultilevel"/>
    <w:lvl w:ilvl="0" w15:tentative="1">
      <w:start w:val="1"/>
      <w:numFmt w:val="bullet"/>
      <w:lvlText w:val="◦"/>
      <w:lvlJc w:val="left"/>
      <w:pPr>
        <w:ind w:left="1080" w:hanging="480"/>
      </w:pPr>
    </w:lvl>
  </w:abstractNum>
  <w:abstractNum w:abstractNumId="4" w15:restartNumberingAfterBreak="0">
    <w:multiLevelType w:val="hybridMultilevel"/>
    <w:lvl w:ilvl="0" w15:tentative="1">
      <w:start w:val="1"/>
      <w:numFmt w:val="decimal"/>
      <w:lvlText w:val="%1."/>
      <w:lvlJc w:val="left"/>
      <w:pPr>
        <w:ind w:left="720" w:hanging="480"/>
      </w:pPr>
    </w:lvl>
  </w:abstractNum>
  <w:abstractNum w:abstractNumId="5" w15:restartNumberingAfterBreak="0">
    <w:multiLevelType w:val="hybridMultilevel"/>
    <w:lvl w:ilvl="0" w15:tentative="1">
      <w:start w:val="1"/>
      <w:numFmt w:val="decimal"/>
      <w:lvlText w:val="%1."/>
      <w:lvlJc w:val="left"/>
      <w:pPr>
        <w:ind w:left="720" w:hanging="480"/>
      </w:pPr>
    </w:lvl>
  </w:abstractNum>
  <w:abstractNum w:abstractNumId="6" w15:restartNumberingAfterBreak="0">
    <w:multiLevelType w:val="hybridMultilevel"/>
    <w:lvl w:ilvl="0" w15:tentative="1">
      <w:start w:val="1"/>
      <w:numFmt w:val="decimal"/>
      <w:lvlText w:val="%1."/>
      <w:lvlJc w:val="left"/>
      <w:pPr>
        <w:ind w:left="720" w:hanging="480"/>
      </w:pPr>
    </w:lvl>
  </w:abstractNum>
  <w:abstractNum w:abstractNumId="7" w15:restartNumberingAfterBreak="0">
    <w:multiLevelType w:val="hybridMultilevel"/>
    <w:lvl w:ilvl="0" w15:tentative="1">
      <w:start w:val="1"/>
      <w:numFmt w:val="decimal"/>
      <w:lvlText w:val="%1."/>
      <w:lvlJc w:val="left"/>
      <w:pPr>
        <w:ind w:left="720" w:hanging="480"/>
      </w:pPr>
    </w:lvl>
  </w:abstractNum>
  <w:abstractNum w:abstractNumId="8" w15:restartNumberingAfterBreak="0">
    <w:multiLevelType w:val="hybridMultilevel"/>
    <w:lvl w:ilvl="0" w15:tentative="1">
      <w:start w:val="1"/>
      <w:numFmt w:val="decimal"/>
      <w:lvlText w:val="%1."/>
      <w:lvlJc w:val="left"/>
      <w:pPr>
        <w:ind w:left="720" w:hanging="4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cs="Cambria" w:eastAsia="Cambria" w:hAnsi="Cambria"/>
        <w:sz w:val="24"/>
        <w:szCs w:val="24"/>
      </w:rPr>
    </w:rPrDefault>
    <w:pPrDefault>
      <w:pPr>
        <w:spacing w:after="120" w:before="12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20" w:before="480"/>
      <w:jc w:val="center"/>
    </w:pPr>
    <w:rPr>
      <w:rFonts w:ascii="Calibri(Headings)" w:cs="Calibri(Headings)" w:eastAsia="Calibri(Headings)" w:hAnsi="Calibri(Headings)"/>
      <w:b/>
      <w:bCs/>
      <w:color w:val="2E4057"/>
      <w:sz w:val="40"/>
      <w:szCs w:val="40"/>
    </w:rPr>
  </w:style>
  <w:style w:type="paragraph" w:styleId="Heading1">
    <w:name w:val="Heading 1"/>
    <w:basedOn w:val="Normal"/>
    <w:next w:val="Normal"/>
    <w:qFormat/>
    <w:pPr>
      <w:spacing w:after="120" w:before="400"/>
    </w:pPr>
    <w:rPr>
      <w:rFonts w:ascii="Calibri(Headings)" w:cs="Calibri(Headings)" w:eastAsia="Calibri(Headings)" w:hAnsi="Calibri(Headings)"/>
      <w:b/>
      <w:bCs/>
      <w:color w:val="4F81BD"/>
      <w:sz w:val="32"/>
      <w:szCs w:val="32"/>
    </w:rPr>
  </w:style>
  <w:style w:type="paragraph" w:styleId="Heading2">
    <w:name w:val="Heading 2"/>
    <w:basedOn w:val="Normal"/>
    <w:next w:val="Normal"/>
    <w:qFormat/>
    <w:pPr>
      <w:spacing w:after="80" w:before="280"/>
    </w:pPr>
    <w:rPr>
      <w:rFonts w:ascii="Calibri(Headings)" w:cs="Calibri(Headings)" w:eastAsia="Calibri(Headings)" w:hAnsi="Calibri(Headings)"/>
      <w:b/>
      <w:bCs/>
      <w:color w:val="2E75B6"/>
      <w:sz w:val="26"/>
      <w:szCs w:val="26"/>
    </w:rPr>
  </w:style>
  <w:style w:type="paragraph" w:styleId="Heading3">
    <w:name w:val="Heading 3"/>
    <w:basedOn w:val="Normal"/>
    <w:next w:val="Normal"/>
    <w:qFormat/>
    <w:pPr>
      <w:spacing w:after="60" w:before="200"/>
    </w:pPr>
    <w:rPr>
      <w:rFonts w:ascii="Calibri(Headings)" w:cs="Calibri(Headings)" w:eastAsia="Calibri(Headings)" w:hAnsi="Calibri(Headings)"/>
      <w:b/>
      <w:bCs/>
      <w:i/>
      <w:iCs/>
      <w:color w:val="404040"/>
      <w:sz w:val="24"/>
      <w:szCs w:val="24"/>
    </w:rPr>
  </w:style>
  <w:style w:type="paragraph" w:styleId="CodeBlock">
    <w:name w:val="Code Block"/>
    <w:basedOn w:val="Normal"/>
    <w:pPr>
      <w:spacing w:after="120" w:before="120"/>
      <w:ind w:left="720"/>
    </w:pPr>
    <w:rPr>
      <w:rFonts w:ascii="Consolas" w:cs="Consolas" w:eastAsia="Consolas" w:hAnsi="Consolas"/>
      <w:color w:val="2F4F4F"/>
      <w:sz w:val="20"/>
      <w:szCs w:val="20"/>
    </w:rPr>
  </w:style>
  <w:style w:type="paragraph" w:styleId="Hyperlink">
    <w:name w:val="Hyperlink"/>
    <w:basedOn w:val="Normal"/>
    <w:rPr>
      <w:color w:val="4F81BD"/>
      <w:u w:val="single"/>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2026-08-20T10:25:50.462Z</dcterms:created>
  <dcterms:modified xsi:type="dcterms:W3CDTF">2026-08-20T10:25:50.462Z</dcterms:modified>
</cp:coreProperties>
</file>

<file path=docProps/custom.xml><?xml version="1.0" encoding="utf-8"?>
<Properties xmlns="http://schemas.openxmlformats.org/officeDocument/2006/custom-properties" xmlns:vt="http://schemas.openxmlformats.org/officeDocument/2006/docPropsVTypes"/>
</file>